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06A6" w14:textId="0D67D01B" w:rsidR="00A56378" w:rsidRDefault="00A56378" w:rsidP="00A56378">
      <w:pPr>
        <w:pStyle w:val="Heading1"/>
      </w:pPr>
      <w:r>
        <w:t>Methods</w:t>
      </w:r>
    </w:p>
    <w:p w14:paraId="371A00E2" w14:textId="17B56BE3" w:rsidR="00114824" w:rsidRDefault="00343EC5" w:rsidP="00A56378">
      <w:pPr>
        <w:pStyle w:val="Heading2"/>
      </w:pPr>
      <w:r>
        <w:t>Estimate GxE Heritability for PEGS</w:t>
      </w:r>
      <w:r w:rsidR="00F5258F">
        <w:t xml:space="preserve"> using GCTA</w:t>
      </w:r>
    </w:p>
    <w:p w14:paraId="28870E61" w14:textId="13CFEB17" w:rsidR="00A00FA5" w:rsidRPr="000B3743" w:rsidRDefault="00343EC5" w:rsidP="000B3743">
      <w:r w:rsidRPr="000B3743">
        <w:t xml:space="preserve">Using </w:t>
      </w:r>
      <w:r w:rsidR="0066789F">
        <w:t>the “--</w:t>
      </w:r>
      <w:proofErr w:type="spellStart"/>
      <w:r w:rsidR="0066789F">
        <w:t>grm</w:t>
      </w:r>
      <w:proofErr w:type="spellEnd"/>
      <w:r w:rsidR="0066789F">
        <w:t xml:space="preserve">” directive of </w:t>
      </w:r>
      <w:r w:rsidRPr="000B3743">
        <w:t>GCTA</w:t>
      </w:r>
      <w:r w:rsidR="00ED4F43" w:rsidRPr="000B3743">
        <w:t xml:space="preserve"> developed by Yang et. al.</w:t>
      </w:r>
      <w:r w:rsidRPr="000B3743">
        <w:t xml:space="preserve">, </w:t>
      </w:r>
      <w:r w:rsidR="00525818" w:rsidRPr="000B3743">
        <w:t xml:space="preserve">from </w:t>
      </w:r>
      <w:r w:rsidR="0000059B" w:rsidRPr="000B3743">
        <w:t xml:space="preserve">PEGS </w:t>
      </w:r>
      <w:r w:rsidRPr="000B3743">
        <w:t xml:space="preserve">whole genome sequencing </w:t>
      </w:r>
      <w:r w:rsidR="00581ADB" w:rsidRPr="000B3743">
        <w:t xml:space="preserve">(WGS) </w:t>
      </w:r>
      <w:r w:rsidRPr="000B3743">
        <w:t xml:space="preserve">data </w:t>
      </w:r>
      <w:r w:rsidR="0000059B" w:rsidRPr="00630A6E">
        <w:rPr>
          <w:b/>
          <w:bCs/>
        </w:rPr>
        <w:t>G</w:t>
      </w:r>
      <w:r w:rsidRPr="000B3743">
        <w:t xml:space="preserve">, </w:t>
      </w:r>
      <w:r w:rsidR="00525818" w:rsidRPr="000B3743">
        <w:t>we calculated</w:t>
      </w:r>
      <w:r w:rsidR="00ED4F43" w:rsidRPr="000B3743">
        <w:t xml:space="preserve"> kinship matrix </w:t>
      </w:r>
      <w:r w:rsidR="00C95A33" w:rsidRPr="00630A6E">
        <w:rPr>
          <w:b/>
          <w:bCs/>
        </w:rPr>
        <w:t>K</w:t>
      </w:r>
      <w:r w:rsidR="00C95A33" w:rsidRPr="00630A6E">
        <w:rPr>
          <w:vertAlign w:val="subscript"/>
        </w:rPr>
        <w:t>G</w:t>
      </w:r>
      <w:r w:rsidR="00525818" w:rsidRPr="000B3743">
        <w:t>; w</w:t>
      </w:r>
      <w:r w:rsidR="00A00FA5" w:rsidRPr="000B3743">
        <w:t>e treat</w:t>
      </w:r>
      <w:r w:rsidR="00DF2427" w:rsidRPr="000B3743">
        <w:t>ed</w:t>
      </w:r>
      <w:r w:rsidR="00A00FA5" w:rsidRPr="000B3743">
        <w:t xml:space="preserve"> </w:t>
      </w:r>
      <w:r w:rsidR="005F0F95" w:rsidRPr="000B3743">
        <w:t xml:space="preserve">exposome </w:t>
      </w:r>
      <w:r w:rsidR="00A00FA5" w:rsidRPr="000B3743">
        <w:t>A</w:t>
      </w:r>
      <w:r w:rsidR="004B0C77" w:rsidRPr="000B3743">
        <w:t xml:space="preserve"> (external exposure survey)</w:t>
      </w:r>
      <w:r w:rsidR="00A00FA5" w:rsidRPr="000B3743">
        <w:t xml:space="preserve">, </w:t>
      </w:r>
      <w:r w:rsidR="004B0C77" w:rsidRPr="000B3743">
        <w:t xml:space="preserve">exposome </w:t>
      </w:r>
      <w:r w:rsidR="00A00FA5" w:rsidRPr="000B3743">
        <w:t>B</w:t>
      </w:r>
      <w:r w:rsidR="004B0C77" w:rsidRPr="000B3743">
        <w:t xml:space="preserve"> (internal exposure survey)</w:t>
      </w:r>
      <w:r w:rsidR="00A00FA5" w:rsidRPr="000B3743">
        <w:t xml:space="preserve">, and </w:t>
      </w:r>
      <w:r w:rsidR="00C35E74" w:rsidRPr="000B3743">
        <w:t xml:space="preserve">exposome </w:t>
      </w:r>
      <w:r w:rsidR="004B0C77" w:rsidRPr="000B3743">
        <w:t>H (</w:t>
      </w:r>
      <w:r w:rsidR="000B3743" w:rsidRPr="000B3743">
        <w:t xml:space="preserve">original </w:t>
      </w:r>
      <w:r w:rsidR="004B0C77" w:rsidRPr="000B3743">
        <w:t xml:space="preserve">health and exposure survey) as </w:t>
      </w:r>
      <w:r w:rsidR="005F0F95" w:rsidRPr="000B3743">
        <w:t>pseudo</w:t>
      </w:r>
      <w:r w:rsidR="004B0C77" w:rsidRPr="000B3743">
        <w:t xml:space="preserve"> “chromosomes”, from which we calculated 3 </w:t>
      </w:r>
      <w:r w:rsidR="00421B29" w:rsidRPr="000B3743">
        <w:t>additional</w:t>
      </w:r>
      <w:r w:rsidR="004B0C77" w:rsidRPr="000B3743">
        <w:t xml:space="preserve"> “kinship” matrices</w:t>
      </w:r>
      <w:r w:rsidR="00024E2B" w:rsidRPr="000B3743">
        <w:t xml:space="preserve"> </w:t>
      </w:r>
      <w:r w:rsidR="00C95A33" w:rsidRPr="00630A6E">
        <w:rPr>
          <w:b/>
          <w:bCs/>
        </w:rPr>
        <w:t>K</w:t>
      </w:r>
      <w:r w:rsidR="00C95A33" w:rsidRPr="00630A6E">
        <w:rPr>
          <w:vertAlign w:val="subscript"/>
        </w:rPr>
        <w:t>A</w:t>
      </w:r>
      <w:r w:rsidR="00C95A33" w:rsidRPr="000B3743">
        <w:t xml:space="preserve">, </w:t>
      </w:r>
      <w:r w:rsidR="00C95A33" w:rsidRPr="00630A6E">
        <w:rPr>
          <w:b/>
          <w:bCs/>
        </w:rPr>
        <w:t>K</w:t>
      </w:r>
      <w:r w:rsidR="00C95A33" w:rsidRPr="00630A6E">
        <w:rPr>
          <w:vertAlign w:val="subscript"/>
        </w:rPr>
        <w:t>B</w:t>
      </w:r>
      <w:r w:rsidR="00C95A33" w:rsidRPr="000B3743">
        <w:t xml:space="preserve">, and </w:t>
      </w:r>
      <w:r w:rsidR="00C95A33" w:rsidRPr="00630A6E">
        <w:rPr>
          <w:b/>
          <w:bCs/>
        </w:rPr>
        <w:t>K</w:t>
      </w:r>
      <w:r w:rsidR="00C95A33" w:rsidRPr="00630A6E">
        <w:rPr>
          <w:vertAlign w:val="subscript"/>
        </w:rPr>
        <w:t>H</w:t>
      </w:r>
      <w:r w:rsidR="00C95A33" w:rsidRPr="000B3743">
        <w:t xml:space="preserve"> </w:t>
      </w:r>
      <w:r w:rsidR="00421B29" w:rsidRPr="000B3743">
        <w:t>using</w:t>
      </w:r>
      <w:r w:rsidR="00024E2B" w:rsidRPr="000B3743">
        <w:t xml:space="preserve"> R script</w:t>
      </w:r>
      <w:r w:rsidR="00AE622A" w:rsidRPr="000B3743">
        <w:t>s</w:t>
      </w:r>
      <w:r w:rsidR="00421B29" w:rsidRPr="000B3743">
        <w:t>,</w:t>
      </w:r>
      <w:r w:rsidR="005F0F95" w:rsidRPr="000B3743">
        <w:t xml:space="preserve"> and</w:t>
      </w:r>
      <w:r w:rsidR="00024E2B" w:rsidRPr="000B3743">
        <w:t xml:space="preserve"> saved </w:t>
      </w:r>
      <w:r w:rsidR="00AE622A" w:rsidRPr="000B3743">
        <w:t xml:space="preserve">them </w:t>
      </w:r>
      <w:r w:rsidR="00E16C18" w:rsidRPr="000B3743">
        <w:t>into GCTA compatible format.</w:t>
      </w:r>
    </w:p>
    <w:p w14:paraId="0535BFE9" w14:textId="7E917817" w:rsidR="006F0825" w:rsidRDefault="006F0825" w:rsidP="000B3743">
      <w:r>
        <w:t xml:space="preserve">Given </w:t>
      </w:r>
      <w:r w:rsidR="00C64975">
        <w:t xml:space="preserve">a </w:t>
      </w:r>
      <w:r w:rsidR="006C0938">
        <w:t>phenotype</w:t>
      </w:r>
      <w:r w:rsidR="00CF58C2">
        <w:t xml:space="preserve"> </w:t>
      </w:r>
      <w:r w:rsidR="00B85C65" w:rsidRPr="00256BA7">
        <w:rPr>
          <w:b/>
          <w:bCs/>
        </w:rPr>
        <w:t>y</w:t>
      </w:r>
      <w:r w:rsidR="00C64975">
        <w:t xml:space="preserve"> and</w:t>
      </w:r>
      <w:r w:rsidR="00B85C65">
        <w:t xml:space="preserve"> </w:t>
      </w:r>
      <w:r w:rsidR="00F56D42">
        <w:t>covariates</w:t>
      </w:r>
      <w:r w:rsidR="00B85C65">
        <w:t xml:space="preserve"> </w:t>
      </w:r>
      <w:r w:rsidR="00C64975">
        <w:t xml:space="preserve">in </w:t>
      </w:r>
      <w:r w:rsidR="00B85C65" w:rsidRPr="00256BA7">
        <w:rPr>
          <w:b/>
          <w:bCs/>
        </w:rPr>
        <w:t>X</w:t>
      </w:r>
      <w:r w:rsidR="00F56D42">
        <w:t xml:space="preserve">, </w:t>
      </w:r>
      <w:r w:rsidR="00C64975">
        <w:t xml:space="preserve">the </w:t>
      </w:r>
      <w:r w:rsidR="00777759">
        <w:t xml:space="preserve">variation of </w:t>
      </w:r>
      <w:r w:rsidR="00C64975">
        <w:t>residual</w:t>
      </w:r>
      <w:r w:rsidR="00777759">
        <w:t>s</w:t>
      </w:r>
      <w:r w:rsidR="00C64975">
        <w:t xml:space="preserve"> </w:t>
      </w:r>
      <w:r w:rsidR="00995090">
        <w:t xml:space="preserve">left </w:t>
      </w:r>
      <w:r w:rsidR="004C75D3">
        <w:t>by</w:t>
      </w:r>
      <w:r w:rsidR="0064656F">
        <w:t xml:space="preserve"> </w:t>
      </w:r>
      <w:r w:rsidR="004C75D3">
        <w:t>regressing</w:t>
      </w:r>
      <w:r w:rsidR="00256BA7">
        <w:t xml:space="preserve"> </w:t>
      </w:r>
      <w:r w:rsidR="00256BA7" w:rsidRPr="009C2EA9">
        <w:rPr>
          <w:b/>
          <w:bCs/>
        </w:rPr>
        <w:t>y</w:t>
      </w:r>
      <w:r w:rsidR="00256BA7">
        <w:t xml:space="preserve"> </w:t>
      </w:r>
      <w:r w:rsidR="004C75D3">
        <w:t>on</w:t>
      </w:r>
      <w:r w:rsidR="00256BA7">
        <w:t xml:space="preserve"> </w:t>
      </w:r>
      <w:r w:rsidR="00256BA7" w:rsidRPr="009C2EA9">
        <w:rPr>
          <w:b/>
          <w:bCs/>
        </w:rPr>
        <w:t>X</w:t>
      </w:r>
      <w:r w:rsidR="0064656F">
        <w:t xml:space="preserve"> </w:t>
      </w:r>
      <w:r w:rsidR="0007695C">
        <w:t xml:space="preserve">(logistic </w:t>
      </w:r>
      <w:r w:rsidR="00995090">
        <w:t>model</w:t>
      </w:r>
      <w:r w:rsidR="0007695C">
        <w:t xml:space="preserve"> if </w:t>
      </w:r>
      <w:r w:rsidR="0007695C" w:rsidRPr="0007695C">
        <w:rPr>
          <w:b/>
          <w:bCs/>
        </w:rPr>
        <w:t>y</w:t>
      </w:r>
      <w:r w:rsidR="0007695C">
        <w:t xml:space="preserve"> is case / control) </w:t>
      </w:r>
      <w:r w:rsidR="00C64975">
        <w:t xml:space="preserve">can be </w:t>
      </w:r>
      <w:r w:rsidR="00256BA7">
        <w:t xml:space="preserve">further </w:t>
      </w:r>
      <w:r w:rsidR="003F4F8E">
        <w:t>divided</w:t>
      </w:r>
      <w:r w:rsidR="00C64975">
        <w:t xml:space="preserve"> </w:t>
      </w:r>
      <w:r w:rsidR="003F4F8E">
        <w:t xml:space="preserve">between </w:t>
      </w:r>
      <w:r w:rsidR="00F304BD">
        <w:t xml:space="preserve">one or more </w:t>
      </w:r>
      <w:r w:rsidR="007E43AE">
        <w:t xml:space="preserve">variance components represented by the </w:t>
      </w:r>
      <w:r w:rsidR="006A0307">
        <w:t>4 kinship matrices</w:t>
      </w:r>
      <w:r w:rsidR="00256BA7">
        <w:t>.</w:t>
      </w:r>
      <w:r w:rsidR="0054733B">
        <w:t xml:space="preserve"> </w:t>
      </w:r>
      <w:r w:rsidR="00256BA7">
        <w:t>W</w:t>
      </w:r>
      <w:r w:rsidR="0054733B">
        <w:t xml:space="preserve">e used </w:t>
      </w:r>
      <w:r w:rsidR="006A0307">
        <w:t>GCTA</w:t>
      </w:r>
      <w:r w:rsidR="0051194C">
        <w:t xml:space="preserve">’s </w:t>
      </w:r>
      <w:r w:rsidR="00A31997">
        <w:t>directive “</w:t>
      </w:r>
      <w:r w:rsidR="00A31997" w:rsidRPr="00A31997">
        <w:t>--</w:t>
      </w:r>
      <w:proofErr w:type="spellStart"/>
      <w:r w:rsidR="00A31997" w:rsidRPr="00A31997">
        <w:t>reml</w:t>
      </w:r>
      <w:proofErr w:type="spellEnd"/>
      <w:r w:rsidR="00A31997">
        <w:t xml:space="preserve">” to fit </w:t>
      </w:r>
      <w:r w:rsidR="006A0ACB">
        <w:t xml:space="preserve">generalized </w:t>
      </w:r>
      <w:r w:rsidR="0051194C">
        <w:t>linear mixed models (</w:t>
      </w:r>
      <w:r w:rsidR="006A0ACB">
        <w:t>G</w:t>
      </w:r>
      <w:r w:rsidR="0051194C">
        <w:t xml:space="preserve">LMM) </w:t>
      </w:r>
      <w:r w:rsidR="00FA2800">
        <w:t>of</w:t>
      </w:r>
      <w:r w:rsidR="001F5A43">
        <w:t xml:space="preserve"> </w:t>
      </w:r>
      <w:r w:rsidR="001F5A43" w:rsidRPr="001F5A43">
        <w:rPr>
          <w:b/>
          <w:bCs/>
        </w:rPr>
        <w:t>y</w:t>
      </w:r>
      <w:r w:rsidR="00FA2800" w:rsidRPr="00FA2800">
        <w:t>,</w:t>
      </w:r>
      <w:r w:rsidR="001F5A43">
        <w:t xml:space="preserve"> </w:t>
      </w:r>
      <w:r w:rsidR="0051194C">
        <w:t>with fixed effect</w:t>
      </w:r>
      <w:r w:rsidR="006A0ACB">
        <w:t>s</w:t>
      </w:r>
      <w:r w:rsidR="0051194C">
        <w:t xml:space="preserve"> </w:t>
      </w:r>
      <w:r w:rsidR="006A0ACB">
        <w:t>from</w:t>
      </w:r>
      <w:r w:rsidR="00D234B2">
        <w:t xml:space="preserve"> covariate</w:t>
      </w:r>
      <w:r w:rsidR="006A0ACB">
        <w:t>s in</w:t>
      </w:r>
      <w:r w:rsidR="00D234B2">
        <w:t xml:space="preserve"> </w:t>
      </w:r>
      <w:r w:rsidR="00C43722" w:rsidRPr="00C43722">
        <w:rPr>
          <w:b/>
          <w:bCs/>
        </w:rPr>
        <w:t>X</w:t>
      </w:r>
      <w:r w:rsidR="006C4831" w:rsidRPr="00FB1D9F">
        <w:t>,</w:t>
      </w:r>
      <w:r w:rsidR="00815CAE">
        <w:t xml:space="preserve"> and </w:t>
      </w:r>
      <w:r w:rsidR="0051194C">
        <w:t>random effect</w:t>
      </w:r>
      <w:r w:rsidR="00D234B2">
        <w:t>s</w:t>
      </w:r>
      <w:r w:rsidR="0051194C">
        <w:t xml:space="preserve"> </w:t>
      </w:r>
      <w:r w:rsidR="00D234B2">
        <w:t xml:space="preserve">based on </w:t>
      </w:r>
      <w:r w:rsidR="007457CD">
        <w:t xml:space="preserve">one or more </w:t>
      </w:r>
      <w:r w:rsidR="001C503E">
        <w:t>kinship</w:t>
      </w:r>
      <w:r w:rsidR="00E816AB">
        <w:t>s</w:t>
      </w:r>
      <w:r w:rsidR="00CF58C2">
        <w:t>:</w:t>
      </w:r>
    </w:p>
    <w:p w14:paraId="0D2A38E7" w14:textId="5F9F1B1D" w:rsidR="00CF58C2" w:rsidRDefault="0054733B" w:rsidP="000B3743">
      <w:pPr>
        <w:pStyle w:val="ListParagraph"/>
        <w:numPr>
          <w:ilvl w:val="0"/>
          <w:numId w:val="2"/>
        </w:numPr>
      </w:pPr>
      <w:r>
        <w:t>genome</w:t>
      </w:r>
      <w:r w:rsidR="00A7184E">
        <w:t xml:space="preserve"> </w:t>
      </w:r>
      <w:r w:rsidR="00956056" w:rsidRPr="006D37F3">
        <w:rPr>
          <w:b/>
          <w:bCs/>
        </w:rPr>
        <w:t>K</w:t>
      </w:r>
      <w:r w:rsidR="00A57045" w:rsidRPr="006D37F3">
        <w:rPr>
          <w:b/>
          <w:bCs/>
          <w:vertAlign w:val="subscript"/>
        </w:rPr>
        <w:t>G</w:t>
      </w:r>
      <w:r w:rsidR="00604C33">
        <w:t xml:space="preserve">, or exposome </w:t>
      </w:r>
      <w:r w:rsidR="00604C33" w:rsidRPr="006D37F3">
        <w:rPr>
          <w:b/>
          <w:bCs/>
        </w:rPr>
        <w:t>K</w:t>
      </w:r>
      <w:r w:rsidR="00604C33" w:rsidRPr="006D37F3">
        <w:rPr>
          <w:b/>
          <w:bCs/>
          <w:vertAlign w:val="subscript"/>
        </w:rPr>
        <w:t>A</w:t>
      </w:r>
      <w:r w:rsidR="00604C33">
        <w:t xml:space="preserve">, or </w:t>
      </w:r>
      <w:r w:rsidR="00604C33" w:rsidRPr="006D37F3">
        <w:rPr>
          <w:b/>
          <w:bCs/>
        </w:rPr>
        <w:t>K</w:t>
      </w:r>
      <w:r w:rsidR="00604C33" w:rsidRPr="006D37F3">
        <w:rPr>
          <w:b/>
          <w:bCs/>
          <w:vertAlign w:val="subscript"/>
        </w:rPr>
        <w:t>B</w:t>
      </w:r>
      <w:r w:rsidR="00604C33">
        <w:t xml:space="preserve">, or </w:t>
      </w:r>
      <w:r w:rsidR="00604C33" w:rsidRPr="006D37F3">
        <w:rPr>
          <w:b/>
          <w:bCs/>
        </w:rPr>
        <w:t>K</w:t>
      </w:r>
      <w:r w:rsidR="00604C33" w:rsidRPr="006D37F3">
        <w:rPr>
          <w:b/>
          <w:bCs/>
          <w:vertAlign w:val="subscript"/>
        </w:rPr>
        <w:t>H</w:t>
      </w:r>
      <w:r w:rsidR="007457CD" w:rsidRPr="007457CD">
        <w:t>,</w:t>
      </w:r>
      <w:r w:rsidR="00604C33" w:rsidRPr="007457CD">
        <w:t xml:space="preserve"> </w:t>
      </w:r>
      <w:r w:rsidR="00604C33">
        <w:t>alone.</w:t>
      </w:r>
    </w:p>
    <w:p w14:paraId="1B1D953A" w14:textId="1836A291" w:rsidR="00A7184E" w:rsidRDefault="00BC649A" w:rsidP="000B3743">
      <w:pPr>
        <w:pStyle w:val="ListParagraph"/>
        <w:numPr>
          <w:ilvl w:val="0"/>
          <w:numId w:val="2"/>
        </w:numPr>
      </w:pPr>
      <w:r>
        <w:t xml:space="preserve">genome </w:t>
      </w:r>
      <w:r w:rsidR="00956056" w:rsidRPr="006D37F3">
        <w:rPr>
          <w:b/>
          <w:bCs/>
        </w:rPr>
        <w:t>K</w:t>
      </w:r>
      <w:r w:rsidR="00A57045" w:rsidRPr="006D37F3">
        <w:rPr>
          <w:b/>
          <w:bCs/>
          <w:vertAlign w:val="subscript"/>
        </w:rPr>
        <w:t>G</w:t>
      </w:r>
      <w:r w:rsidR="00A57045">
        <w:t xml:space="preserve"> </w:t>
      </w:r>
      <w:r>
        <w:t xml:space="preserve">and </w:t>
      </w:r>
      <w:r w:rsidR="0054733B">
        <w:t>ex</w:t>
      </w:r>
      <w:r w:rsidR="00B85C65">
        <w:t xml:space="preserve">posome </w:t>
      </w:r>
      <w:r w:rsidR="00956056" w:rsidRPr="006D37F3">
        <w:rPr>
          <w:b/>
          <w:bCs/>
        </w:rPr>
        <w:t>K</w:t>
      </w:r>
      <w:r w:rsidR="00B85C65" w:rsidRPr="006D37F3">
        <w:rPr>
          <w:b/>
          <w:bCs/>
          <w:vertAlign w:val="subscript"/>
        </w:rPr>
        <w:t>A</w:t>
      </w:r>
      <w:r>
        <w:t xml:space="preserve">, </w:t>
      </w:r>
      <w:r w:rsidR="00325A37">
        <w:t xml:space="preserve">or </w:t>
      </w:r>
      <w:r w:rsidR="00956056" w:rsidRPr="006D37F3">
        <w:rPr>
          <w:b/>
          <w:bCs/>
        </w:rPr>
        <w:t>K</w:t>
      </w:r>
      <w:r w:rsidRPr="006D37F3">
        <w:rPr>
          <w:b/>
          <w:bCs/>
          <w:vertAlign w:val="subscript"/>
        </w:rPr>
        <w:t>B</w:t>
      </w:r>
      <w:r>
        <w:t xml:space="preserve">, or </w:t>
      </w:r>
      <w:r w:rsidR="00516956" w:rsidRPr="006D37F3">
        <w:rPr>
          <w:b/>
          <w:bCs/>
        </w:rPr>
        <w:t>K</w:t>
      </w:r>
      <w:r w:rsidR="00516956" w:rsidRPr="006D37F3">
        <w:rPr>
          <w:b/>
          <w:bCs/>
          <w:vertAlign w:val="subscript"/>
        </w:rPr>
        <w:t>H</w:t>
      </w:r>
      <w:r w:rsidR="00516956">
        <w:t>.</w:t>
      </w:r>
    </w:p>
    <w:p w14:paraId="7297AC7C" w14:textId="2D4A77DD" w:rsidR="00BC649A" w:rsidRDefault="00BC649A" w:rsidP="000B3743">
      <w:pPr>
        <w:pStyle w:val="ListParagraph"/>
        <w:numPr>
          <w:ilvl w:val="0"/>
          <w:numId w:val="2"/>
        </w:numPr>
      </w:pPr>
      <w:r>
        <w:t xml:space="preserve">genome </w:t>
      </w:r>
      <w:r w:rsidR="00956056" w:rsidRPr="006D37F3">
        <w:rPr>
          <w:b/>
          <w:bCs/>
        </w:rPr>
        <w:t>K</w:t>
      </w:r>
      <w:r w:rsidR="00A57045" w:rsidRPr="006D37F3">
        <w:rPr>
          <w:b/>
          <w:bCs/>
          <w:vertAlign w:val="subscript"/>
        </w:rPr>
        <w:t>G</w:t>
      </w:r>
      <w:r w:rsidR="00A57045">
        <w:t xml:space="preserve"> </w:t>
      </w:r>
      <w:r>
        <w:t xml:space="preserve">and exposome </w:t>
      </w:r>
      <w:r w:rsidR="00516956" w:rsidRPr="006D37F3">
        <w:rPr>
          <w:b/>
          <w:bCs/>
        </w:rPr>
        <w:t>K</w:t>
      </w:r>
      <w:r w:rsidR="00516956" w:rsidRPr="006D37F3">
        <w:rPr>
          <w:b/>
          <w:bCs/>
          <w:vertAlign w:val="subscript"/>
        </w:rPr>
        <w:t>A</w:t>
      </w:r>
      <w:r w:rsidR="00516956">
        <w:t xml:space="preserve">, </w:t>
      </w:r>
      <w:r w:rsidR="00325A37">
        <w:t xml:space="preserve">or </w:t>
      </w:r>
      <w:r w:rsidR="00516956" w:rsidRPr="006D37F3">
        <w:rPr>
          <w:b/>
          <w:bCs/>
        </w:rPr>
        <w:t>K</w:t>
      </w:r>
      <w:r w:rsidR="00516956" w:rsidRPr="006D37F3">
        <w:rPr>
          <w:b/>
          <w:bCs/>
          <w:vertAlign w:val="subscript"/>
        </w:rPr>
        <w:t>B</w:t>
      </w:r>
      <w:r w:rsidR="00516956">
        <w:t xml:space="preserve">, or </w:t>
      </w:r>
      <w:r w:rsidR="00516956" w:rsidRPr="006D37F3">
        <w:rPr>
          <w:b/>
          <w:bCs/>
        </w:rPr>
        <w:t>K</w:t>
      </w:r>
      <w:r w:rsidR="00516956" w:rsidRPr="006D37F3">
        <w:rPr>
          <w:b/>
          <w:bCs/>
          <w:vertAlign w:val="subscript"/>
        </w:rPr>
        <w:t>H</w:t>
      </w:r>
      <w:r>
        <w:t xml:space="preserve">, and </w:t>
      </w:r>
      <w:r w:rsidR="00A57045">
        <w:t>interaction</w:t>
      </w:r>
      <w:r w:rsidR="004C5F05">
        <w:t xml:space="preserve"> </w:t>
      </w:r>
      <w:r w:rsidR="00956056" w:rsidRPr="006D37F3">
        <w:rPr>
          <w:b/>
          <w:bCs/>
        </w:rPr>
        <w:t>K</w:t>
      </w:r>
      <w:r w:rsidR="004C5F05" w:rsidRPr="006D37F3">
        <w:rPr>
          <w:b/>
          <w:bCs/>
          <w:vertAlign w:val="subscript"/>
        </w:rPr>
        <w:t>G</w:t>
      </w:r>
      <w:r w:rsidR="00956056" w:rsidRPr="006D37F3">
        <w:rPr>
          <w:b/>
          <w:bCs/>
        </w:rPr>
        <w:t>K</w:t>
      </w:r>
      <w:r w:rsidR="004C5F05" w:rsidRPr="006D37F3">
        <w:rPr>
          <w:b/>
          <w:bCs/>
          <w:vertAlign w:val="subscript"/>
        </w:rPr>
        <w:t>A</w:t>
      </w:r>
      <w:r w:rsidR="004C5F05">
        <w:t xml:space="preserve">, </w:t>
      </w:r>
      <w:r w:rsidR="00325A37">
        <w:t xml:space="preserve">or </w:t>
      </w:r>
      <w:r w:rsidR="00956056" w:rsidRPr="006D37F3">
        <w:rPr>
          <w:b/>
          <w:bCs/>
        </w:rPr>
        <w:t>K</w:t>
      </w:r>
      <w:r w:rsidR="004C5F05" w:rsidRPr="006D37F3">
        <w:rPr>
          <w:b/>
          <w:bCs/>
          <w:vertAlign w:val="subscript"/>
        </w:rPr>
        <w:t>G</w:t>
      </w:r>
      <w:r w:rsidR="00956056" w:rsidRPr="006D37F3">
        <w:rPr>
          <w:b/>
          <w:bCs/>
        </w:rPr>
        <w:t>K</w:t>
      </w:r>
      <w:r w:rsidR="004C5F05" w:rsidRPr="006D37F3">
        <w:rPr>
          <w:b/>
          <w:bCs/>
          <w:vertAlign w:val="subscript"/>
        </w:rPr>
        <w:t>B</w:t>
      </w:r>
      <w:r w:rsidR="004C5F05">
        <w:t xml:space="preserve">, or </w:t>
      </w:r>
      <w:r w:rsidR="00956056" w:rsidRPr="006D37F3">
        <w:rPr>
          <w:b/>
          <w:bCs/>
        </w:rPr>
        <w:t>K</w:t>
      </w:r>
      <w:r w:rsidR="004C5F05" w:rsidRPr="006D37F3">
        <w:rPr>
          <w:b/>
          <w:bCs/>
          <w:vertAlign w:val="subscript"/>
        </w:rPr>
        <w:t>G</w:t>
      </w:r>
      <w:r w:rsidR="00956056" w:rsidRPr="006D37F3">
        <w:rPr>
          <w:b/>
          <w:bCs/>
        </w:rPr>
        <w:t>K</w:t>
      </w:r>
      <w:r w:rsidR="004C5F05" w:rsidRPr="006D37F3">
        <w:rPr>
          <w:b/>
          <w:bCs/>
          <w:vertAlign w:val="subscript"/>
        </w:rPr>
        <w:t>H</w:t>
      </w:r>
      <w:r w:rsidR="00A57045">
        <w:t>.</w:t>
      </w:r>
    </w:p>
    <w:p w14:paraId="1CE5203F" w14:textId="5F5FAB02" w:rsidR="008D411F" w:rsidRDefault="003A03DF" w:rsidP="000B3743">
      <w:pPr>
        <w:pStyle w:val="ListParagraph"/>
        <w:numPr>
          <w:ilvl w:val="0"/>
          <w:numId w:val="2"/>
        </w:numPr>
      </w:pPr>
      <w:r>
        <w:t xml:space="preserve">the trivial, NULL random effect: </w:t>
      </w:r>
      <w:r w:rsidR="008D411F">
        <w:t>no kinship considered at all.</w:t>
      </w:r>
    </w:p>
    <w:p w14:paraId="5861F868" w14:textId="61D87CC6" w:rsidR="00D51CDD" w:rsidRDefault="0074526C" w:rsidP="000B3743">
      <w:r>
        <w:t>where t</w:t>
      </w:r>
      <w:r w:rsidR="00A57045">
        <w:t xml:space="preserve">he interaction is </w:t>
      </w:r>
      <w:r w:rsidR="00516956">
        <w:t xml:space="preserve">simply </w:t>
      </w:r>
      <w:r w:rsidR="00A57045">
        <w:t xml:space="preserve">an additional </w:t>
      </w:r>
      <w:r w:rsidR="004C5F05">
        <w:t xml:space="preserve">“kinship” </w:t>
      </w:r>
      <w:r w:rsidR="00516956">
        <w:t xml:space="preserve">made of </w:t>
      </w:r>
      <w:r w:rsidR="003474AE">
        <w:t>H</w:t>
      </w:r>
      <w:r w:rsidR="003474AE" w:rsidRPr="003474AE">
        <w:t xml:space="preserve">adamard </w:t>
      </w:r>
      <w:r w:rsidR="00D821B1">
        <w:t>product</w:t>
      </w:r>
      <w:r>
        <w:t xml:space="preserve"> between </w:t>
      </w:r>
      <w:r w:rsidR="003474AE">
        <w:t>two basic kinship matrices.</w:t>
      </w:r>
      <w:r w:rsidR="00D51CDD">
        <w:t xml:space="preserve"> Therefore, f</w:t>
      </w:r>
      <w:r w:rsidR="003A1835">
        <w:t>or each phenotype, a</w:t>
      </w:r>
      <w:r w:rsidR="000215E8">
        <w:t xml:space="preserve"> total of </w:t>
      </w:r>
      <w:r w:rsidR="002D7E26">
        <w:t>4</w:t>
      </w:r>
      <w:r w:rsidR="003A1835">
        <w:t xml:space="preserve"> + 3 + 3 </w:t>
      </w:r>
      <w:r w:rsidR="003A03DF">
        <w:t xml:space="preserve">+ 1 </w:t>
      </w:r>
      <w:r w:rsidR="003A1835">
        <w:t xml:space="preserve">= </w:t>
      </w:r>
      <w:r w:rsidR="002D7E26">
        <w:t>10</w:t>
      </w:r>
      <w:r w:rsidR="003A1835">
        <w:t xml:space="preserve"> </w:t>
      </w:r>
      <w:r w:rsidR="00E147BC">
        <w:t>G</w:t>
      </w:r>
      <w:r w:rsidR="003A1835">
        <w:t xml:space="preserve">LMM were </w:t>
      </w:r>
      <w:r w:rsidR="00D51CDD">
        <w:t>attempted</w:t>
      </w:r>
      <w:r w:rsidR="003A1835">
        <w:t>.</w:t>
      </w:r>
    </w:p>
    <w:p w14:paraId="493797B0" w14:textId="5510AF86" w:rsidR="00C61497" w:rsidRDefault="00C61497" w:rsidP="000B3743">
      <w:r>
        <w:t xml:space="preserve">Take </w:t>
      </w:r>
      <w:r w:rsidR="00C83184">
        <w:t xml:space="preserve">the GLMM composed of </w:t>
      </w:r>
      <w:r w:rsidR="00635C64">
        <w:t>covariate X, genome component K</w:t>
      </w:r>
      <w:r w:rsidR="00635C64" w:rsidRPr="00C83184">
        <w:rPr>
          <w:vertAlign w:val="subscript"/>
        </w:rPr>
        <w:t>G</w:t>
      </w:r>
      <w:r w:rsidR="00635C64">
        <w:t>, heath &amp; exposure survey component</w:t>
      </w:r>
      <w:r w:rsidR="00C83184">
        <w:t xml:space="preserve"> K</w:t>
      </w:r>
      <w:r w:rsidR="00C83184" w:rsidRPr="00C83184">
        <w:rPr>
          <w:vertAlign w:val="subscript"/>
        </w:rPr>
        <w:t>H</w:t>
      </w:r>
      <w:r w:rsidR="00C83184">
        <w:t xml:space="preserve">, and </w:t>
      </w:r>
      <w:r w:rsidR="00635C64">
        <w:t xml:space="preserve">the GxE interaction component </w:t>
      </w:r>
      <w:r w:rsidR="00C83184">
        <w:t>K</w:t>
      </w:r>
      <w:r w:rsidR="00C83184" w:rsidRPr="00C83184">
        <w:rPr>
          <w:vertAlign w:val="subscript"/>
        </w:rPr>
        <w:t>G</w:t>
      </w:r>
      <w:r w:rsidR="00C83184">
        <w:t>K</w:t>
      </w:r>
      <w:r w:rsidR="00C83184" w:rsidRPr="00C83184">
        <w:rPr>
          <w:vertAlign w:val="subscript"/>
        </w:rPr>
        <w:t>H</w:t>
      </w:r>
      <w:r w:rsidR="00C83184">
        <w:t xml:space="preserve"> as an example, </w:t>
      </w:r>
      <w:r w:rsidR="00ED5AC4">
        <w:t xml:space="preserve">the decomposing of phenotype </w:t>
      </w:r>
      <w:r w:rsidR="00ED5AC4" w:rsidRPr="00ED5AC4">
        <w:rPr>
          <w:b/>
          <w:bCs/>
        </w:rPr>
        <w:t>y</w:t>
      </w:r>
      <w:r w:rsidR="00ED5AC4">
        <w:t xml:space="preserve"> and residual </w:t>
      </w:r>
      <w:r w:rsidR="00ED5AC4" w:rsidRPr="00ED5AC4">
        <w:rPr>
          <w:b/>
          <w:bCs/>
        </w:rPr>
        <w:t>e</w:t>
      </w:r>
      <w:r w:rsidR="00ED5AC4">
        <w:t xml:space="preserve"> is</w:t>
      </w:r>
    </w:p>
    <w:p w14:paraId="4FE674BD" w14:textId="7C10B421" w:rsidR="008F67D9" w:rsidRPr="00ED5AC4" w:rsidRDefault="00DC315C" w:rsidP="000B3743">
      <m:oMathPara>
        <m:oMath>
          <m:r>
            <m:rPr>
              <m:sty m:val="bi"/>
            </m:rP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Xβ</m:t>
          </m:r>
          <m: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 xml:space="preserve">,  </m:t>
          </m:r>
          <m:r>
            <m:rPr>
              <m:sty m:val="bi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0,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I+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GH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</m:sSub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27DB59B7" w14:textId="5932BAD7" w:rsidR="00ED5AC4" w:rsidRPr="008F67D9" w:rsidRDefault="00ED5AC4" w:rsidP="000B3743">
      <w:r>
        <w:t>The overall heritability (considering health and exposure survey as a “chromosome”) is</w:t>
      </w:r>
    </w:p>
    <w:p w14:paraId="0E419A65" w14:textId="29912C5D" w:rsidR="0069070A" w:rsidRDefault="001742CC" w:rsidP="000B3743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GH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GH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 xml:space="preserve">. </m:t>
          </m:r>
        </m:oMath>
      </m:oMathPara>
    </w:p>
    <w:p w14:paraId="24D21A7E" w14:textId="71EF8D9D" w:rsidR="0093495D" w:rsidRDefault="00D51CDD" w:rsidP="000B3743">
      <w:r>
        <w:t xml:space="preserve">We </w:t>
      </w:r>
      <w:r w:rsidR="00E636EF">
        <w:t>asked</w:t>
      </w:r>
      <w:r>
        <w:t xml:space="preserve"> </w:t>
      </w:r>
      <w:r w:rsidR="00296446">
        <w:t xml:space="preserve">GCTA </w:t>
      </w:r>
      <w:r>
        <w:t xml:space="preserve">to output </w:t>
      </w:r>
      <w:r w:rsidR="00296446">
        <w:t xml:space="preserve">log likelihood, </w:t>
      </w:r>
      <w:r>
        <w:t xml:space="preserve">from which </w:t>
      </w:r>
      <w:r w:rsidR="00296446">
        <w:t xml:space="preserve">we </w:t>
      </w:r>
      <w:r w:rsidR="007866A7">
        <w:t xml:space="preserve">saw </w:t>
      </w:r>
      <w:r w:rsidR="00E636EF">
        <w:t>G</w:t>
      </w:r>
      <w:r w:rsidR="003A1835">
        <w:t xml:space="preserve">LMM with </w:t>
      </w:r>
      <w:r w:rsidR="00FF7C34">
        <w:t>exposome</w:t>
      </w:r>
      <w:r w:rsidR="00F232BF">
        <w:t xml:space="preserve"> </w:t>
      </w:r>
      <w:r w:rsidR="00116B56">
        <w:t xml:space="preserve">and </w:t>
      </w:r>
      <w:r w:rsidR="00FF7C34">
        <w:t xml:space="preserve">interaction </w:t>
      </w:r>
      <w:r w:rsidR="00E147BC">
        <w:t>component</w:t>
      </w:r>
      <w:r w:rsidR="00FF7C34">
        <w:t xml:space="preserve"> </w:t>
      </w:r>
      <w:r w:rsidR="00923215">
        <w:t xml:space="preserve">not necessarily </w:t>
      </w:r>
      <w:r w:rsidR="00A66BB9">
        <w:t xml:space="preserve">better </w:t>
      </w:r>
      <w:r w:rsidR="00296446">
        <w:t xml:space="preserve">than </w:t>
      </w:r>
      <w:r w:rsidR="00560222">
        <w:t xml:space="preserve">a </w:t>
      </w:r>
      <w:r w:rsidR="00411B5D">
        <w:t xml:space="preserve">single </w:t>
      </w:r>
      <w:r w:rsidR="00E147BC">
        <w:t>component</w:t>
      </w:r>
      <w:r w:rsidR="00581ADB">
        <w:t xml:space="preserve">, </w:t>
      </w:r>
      <w:r w:rsidR="00411B5D">
        <w:t xml:space="preserve">or </w:t>
      </w:r>
      <w:r w:rsidR="006D4367">
        <w:t xml:space="preserve">even worse than the NULL, </w:t>
      </w:r>
      <w:r w:rsidR="00581ADB">
        <w:t xml:space="preserve">because the </w:t>
      </w:r>
      <w:r w:rsidR="009062C0">
        <w:t xml:space="preserve">PEGS </w:t>
      </w:r>
      <w:r w:rsidR="00682F0F">
        <w:t>par</w:t>
      </w:r>
      <w:r w:rsidR="009062C0">
        <w:t xml:space="preserve">ticipants </w:t>
      </w:r>
      <w:r w:rsidR="00581ADB">
        <w:t>with WGS</w:t>
      </w:r>
      <w:r w:rsidR="00682F0F">
        <w:t xml:space="preserve"> and exposome A, B, and H</w:t>
      </w:r>
      <w:r w:rsidR="009062C0">
        <w:t xml:space="preserve"> survey </w:t>
      </w:r>
      <w:r w:rsidR="00A66BB9">
        <w:t xml:space="preserve">data </w:t>
      </w:r>
      <w:r w:rsidR="009062C0">
        <w:t xml:space="preserve">varies, </w:t>
      </w:r>
      <w:r w:rsidR="00FA05E9">
        <w:t>reduc</w:t>
      </w:r>
      <w:r w:rsidR="000253C8">
        <w:t>ing</w:t>
      </w:r>
      <w:r w:rsidR="00FA05E9">
        <w:t xml:space="preserve"> </w:t>
      </w:r>
      <w:r w:rsidR="00A66BB9">
        <w:t xml:space="preserve">the </w:t>
      </w:r>
      <w:r w:rsidR="00FA05E9">
        <w:t xml:space="preserve">working sample sizes when </w:t>
      </w:r>
      <w:r w:rsidR="006D4367">
        <w:t xml:space="preserve">more </w:t>
      </w:r>
      <w:r w:rsidR="00C2363A">
        <w:t xml:space="preserve">kinship matrices are </w:t>
      </w:r>
      <w:r w:rsidR="000253C8">
        <w:t xml:space="preserve">incorporated into the </w:t>
      </w:r>
      <w:r w:rsidR="00691CCB">
        <w:t>G</w:t>
      </w:r>
      <w:r w:rsidR="000253C8">
        <w:t>LMM</w:t>
      </w:r>
      <w:r w:rsidR="00ED5503">
        <w:t xml:space="preserve">. </w:t>
      </w:r>
      <w:r w:rsidR="0093495D">
        <w:t xml:space="preserve">As a result, </w:t>
      </w:r>
      <w:r w:rsidR="009355A6">
        <w:t xml:space="preserve">we did not pursuit </w:t>
      </w:r>
      <w:r w:rsidR="0093495D">
        <w:t xml:space="preserve">more complicated </w:t>
      </w:r>
      <w:r w:rsidR="00691CCB">
        <w:t>G</w:t>
      </w:r>
      <w:r w:rsidR="0093495D">
        <w:t xml:space="preserve">LMM with </w:t>
      </w:r>
      <w:r w:rsidR="00195B36">
        <w:t xml:space="preserve">three or </w:t>
      </w:r>
      <w:r w:rsidR="0093495D">
        <w:t xml:space="preserve">more </w:t>
      </w:r>
      <w:r w:rsidR="00AF4F55">
        <w:t xml:space="preserve">environmental </w:t>
      </w:r>
      <w:r w:rsidR="00691CCB">
        <w:t>component</w:t>
      </w:r>
      <w:r w:rsidR="00195B36">
        <w:t xml:space="preserve"> </w:t>
      </w:r>
      <w:r w:rsidR="0093495D">
        <w:t>(e.g., K</w:t>
      </w:r>
      <w:r w:rsidR="0093495D" w:rsidRPr="00FA1FCD">
        <w:rPr>
          <w:vertAlign w:val="subscript"/>
        </w:rPr>
        <w:t>G</w:t>
      </w:r>
      <w:r w:rsidR="0093495D">
        <w:t xml:space="preserve"> + K</w:t>
      </w:r>
      <w:r w:rsidR="0093495D" w:rsidRPr="00FA1FCD">
        <w:rPr>
          <w:vertAlign w:val="subscript"/>
        </w:rPr>
        <w:t>A</w:t>
      </w:r>
      <w:r w:rsidR="0093495D">
        <w:rPr>
          <w:vertAlign w:val="subscript"/>
        </w:rPr>
        <w:t xml:space="preserve"> </w:t>
      </w:r>
      <w:r w:rsidR="0093495D">
        <w:t>+ K</w:t>
      </w:r>
      <w:r w:rsidR="0093495D" w:rsidRPr="00FA1FCD">
        <w:rPr>
          <w:vertAlign w:val="subscript"/>
        </w:rPr>
        <w:t>B</w:t>
      </w:r>
      <w:r w:rsidR="0093495D" w:rsidRPr="0093495D">
        <w:t xml:space="preserve"> </w:t>
      </w:r>
      <w:r w:rsidR="0093495D">
        <w:t xml:space="preserve">+ </w:t>
      </w:r>
      <w:r w:rsidR="00A477B5">
        <w:t>K</w:t>
      </w:r>
      <w:r w:rsidR="00A477B5" w:rsidRPr="00FA1FCD">
        <w:rPr>
          <w:vertAlign w:val="subscript"/>
        </w:rPr>
        <w:t>G</w:t>
      </w:r>
      <w:r w:rsidR="0093495D">
        <w:t>K</w:t>
      </w:r>
      <w:r w:rsidR="0093495D" w:rsidRPr="00FA1FCD">
        <w:rPr>
          <w:vertAlign w:val="subscript"/>
        </w:rPr>
        <w:t>A</w:t>
      </w:r>
      <w:r w:rsidR="0093495D">
        <w:rPr>
          <w:vertAlign w:val="subscript"/>
        </w:rPr>
        <w:t xml:space="preserve"> </w:t>
      </w:r>
      <w:r w:rsidR="0093495D">
        <w:t xml:space="preserve">+ </w:t>
      </w:r>
      <w:r w:rsidR="00A477B5">
        <w:t>K</w:t>
      </w:r>
      <w:r w:rsidR="00A477B5" w:rsidRPr="00FA1FCD">
        <w:rPr>
          <w:vertAlign w:val="subscript"/>
        </w:rPr>
        <w:t>G</w:t>
      </w:r>
      <w:r w:rsidR="0093495D">
        <w:t>K</w:t>
      </w:r>
      <w:r w:rsidR="0093495D" w:rsidRPr="00FA1FCD">
        <w:rPr>
          <w:vertAlign w:val="subscript"/>
        </w:rPr>
        <w:t>B</w:t>
      </w:r>
      <w:r w:rsidR="00A477B5" w:rsidRPr="00A477B5">
        <w:t>)</w:t>
      </w:r>
      <w:r w:rsidR="00EB65BE">
        <w:t>,</w:t>
      </w:r>
      <w:r w:rsidR="000963B5">
        <w:t xml:space="preserve"> </w:t>
      </w:r>
      <w:r w:rsidR="00604FE7">
        <w:t xml:space="preserve">most of </w:t>
      </w:r>
      <w:r w:rsidR="009355A6">
        <w:t xml:space="preserve">which </w:t>
      </w:r>
      <w:r w:rsidR="00EB65BE">
        <w:t xml:space="preserve">were </w:t>
      </w:r>
      <w:r w:rsidR="000963B5">
        <w:t>difficult to converge</w:t>
      </w:r>
      <w:r w:rsidR="00AF4F55">
        <w:t xml:space="preserve"> with 2000 to 4000 </w:t>
      </w:r>
      <w:r w:rsidR="00A17086">
        <w:t>samples</w:t>
      </w:r>
      <w:r w:rsidR="009355A6">
        <w:t>.</w:t>
      </w:r>
    </w:p>
    <w:p w14:paraId="6777DD8C" w14:textId="7C2A8363" w:rsidR="00C95A33" w:rsidRDefault="0089473D" w:rsidP="000B3743">
      <w:r>
        <w:lastRenderedPageBreak/>
        <w:t xml:space="preserve">Among </w:t>
      </w:r>
      <w:r w:rsidR="0083560D">
        <w:t xml:space="preserve">the </w:t>
      </w:r>
      <w:r>
        <w:t xml:space="preserve">residuals of regressing </w:t>
      </w:r>
      <w:r w:rsidRPr="009C2EA9">
        <w:rPr>
          <w:b/>
          <w:bCs/>
        </w:rPr>
        <w:t>y</w:t>
      </w:r>
      <w:r>
        <w:t xml:space="preserve"> on </w:t>
      </w:r>
      <w:r w:rsidRPr="009C2EA9">
        <w:rPr>
          <w:b/>
          <w:bCs/>
        </w:rPr>
        <w:t>X</w:t>
      </w:r>
      <w:r>
        <w:t xml:space="preserve">, the </w:t>
      </w:r>
      <w:r w:rsidR="00DF33CB">
        <w:t>percentage</w:t>
      </w:r>
      <w:r>
        <w:t xml:space="preserve"> of variation explained by </w:t>
      </w:r>
      <w:r w:rsidR="003F2753">
        <w:t xml:space="preserve">the </w:t>
      </w:r>
      <w:r w:rsidR="00A17086">
        <w:t xml:space="preserve">components </w:t>
      </w:r>
      <w:r w:rsidR="003D65FB">
        <w:t xml:space="preserve">are heritability </w:t>
      </w:r>
      <w:r w:rsidR="003F2753">
        <w:t xml:space="preserve">in the narrow sense, </w:t>
      </w:r>
      <w:r w:rsidR="00DF33CB">
        <w:t xml:space="preserve">the </w:t>
      </w:r>
      <w:r w:rsidR="006D08A7">
        <w:t xml:space="preserve">rest </w:t>
      </w:r>
      <w:r w:rsidR="00604FE7">
        <w:t xml:space="preserve">was </w:t>
      </w:r>
      <w:r w:rsidR="006D08A7">
        <w:t xml:space="preserve">attributed to </w:t>
      </w:r>
      <w:r w:rsidR="00A17086">
        <w:t xml:space="preserve">white </w:t>
      </w:r>
      <w:r w:rsidR="006D08A7">
        <w:t>noise.</w:t>
      </w:r>
      <w:r w:rsidR="003F2753">
        <w:t xml:space="preserve"> When two or three </w:t>
      </w:r>
      <w:r w:rsidR="00A17086">
        <w:t xml:space="preserve">components </w:t>
      </w:r>
      <w:r w:rsidR="00053DD4">
        <w:t>were involved, t</w:t>
      </w:r>
      <w:r w:rsidR="003F2753">
        <w:t>he heritability</w:t>
      </w:r>
      <w:r w:rsidR="00053DD4">
        <w:t xml:space="preserve"> is further divided among </w:t>
      </w:r>
      <w:r w:rsidR="00D20D9B">
        <w:t>them</w:t>
      </w:r>
      <w:r w:rsidR="00053DD4">
        <w:t xml:space="preserve">. </w:t>
      </w:r>
      <w:r w:rsidR="007F762A">
        <w:t xml:space="preserve">After fitting the </w:t>
      </w:r>
      <w:r w:rsidR="00D20D9B">
        <w:t>10</w:t>
      </w:r>
      <w:r w:rsidR="007F762A">
        <w:t xml:space="preserve"> </w:t>
      </w:r>
      <w:r w:rsidR="00D20D9B">
        <w:t>G</w:t>
      </w:r>
      <w:r w:rsidR="007F762A">
        <w:t>LMM, we choose the one with the largest log likelihood (i.e., the best fit)</w:t>
      </w:r>
      <w:r w:rsidR="00053DD4">
        <w:t xml:space="preserve"> to</w:t>
      </w:r>
      <w:r w:rsidR="007460AA">
        <w:t xml:space="preserve"> report</w:t>
      </w:r>
      <w:r w:rsidR="00053DD4">
        <w:t>.</w:t>
      </w:r>
    </w:p>
    <w:p w14:paraId="05FF79C2" w14:textId="62A744A5" w:rsidR="00635C64" w:rsidRDefault="00635C64" w:rsidP="000B3743">
      <w:r>
        <w:t xml:space="preserve">The results are listed in </w:t>
      </w:r>
      <w:r w:rsidR="00F60110">
        <w:t>Excel Worksheet “</w:t>
      </w:r>
      <w:proofErr w:type="spellStart"/>
      <w:r w:rsidR="00F60110">
        <w:t>hsq_for_paper</w:t>
      </w:r>
      <w:proofErr w:type="spellEnd"/>
      <w:r w:rsidR="00F60110">
        <w:t>” under “hsq.xlsx”.</w:t>
      </w:r>
    </w:p>
    <w:p w14:paraId="4601478E" w14:textId="104F8E49" w:rsidR="00A56378" w:rsidRDefault="00A56378" w:rsidP="00F5258F">
      <w:pPr>
        <w:pStyle w:val="Heading2"/>
      </w:pPr>
      <w:r>
        <w:t xml:space="preserve">Quality Control for </w:t>
      </w:r>
      <w:r w:rsidR="00F5258F">
        <w:t>Heritability Estimation</w:t>
      </w:r>
    </w:p>
    <w:p w14:paraId="1B084019" w14:textId="4F901D8E" w:rsidR="00F60110" w:rsidRDefault="00F60110" w:rsidP="000B3743">
      <w:r>
        <w:t xml:space="preserve">To ensure the numerical stability of kinship matrices, </w:t>
      </w:r>
      <w:r w:rsidR="00B13A86">
        <w:t xml:space="preserve">we imposed </w:t>
      </w:r>
      <w:r>
        <w:t>quality control</w:t>
      </w:r>
      <w:r w:rsidR="00B13A86">
        <w:t xml:space="preserve"> </w:t>
      </w:r>
      <w:r w:rsidR="001C6DEE">
        <w:t>measures</w:t>
      </w:r>
      <w:r w:rsidR="00B13A86">
        <w:t>.</w:t>
      </w:r>
    </w:p>
    <w:p w14:paraId="004BF68B" w14:textId="36C1B4D0" w:rsidR="00C876C7" w:rsidRDefault="00B13A86" w:rsidP="001C6DEE">
      <w:pPr>
        <w:pStyle w:val="ListParagraph"/>
        <w:numPr>
          <w:ilvl w:val="0"/>
          <w:numId w:val="3"/>
        </w:numPr>
      </w:pPr>
      <w:r>
        <w:t xml:space="preserve">For genotype, we retained </w:t>
      </w:r>
      <w:r w:rsidR="001C6DEE">
        <w:t xml:space="preserve">genome </w:t>
      </w:r>
      <w:r>
        <w:t xml:space="preserve">variants with MAF &gt; 0.01 and missing rate &lt; </w:t>
      </w:r>
      <w:r w:rsidRPr="00B13A86">
        <w:t>0.05</w:t>
      </w:r>
      <w:r>
        <w:t>.</w:t>
      </w:r>
    </w:p>
    <w:p w14:paraId="40BBBFA8" w14:textId="5AA52AAF" w:rsidR="00B13A86" w:rsidRDefault="0010528B" w:rsidP="001C6DEE">
      <w:pPr>
        <w:pStyle w:val="ListParagraph"/>
        <w:numPr>
          <w:ilvl w:val="0"/>
          <w:numId w:val="3"/>
        </w:numPr>
      </w:pPr>
      <w:r>
        <w:t>For exposome</w:t>
      </w:r>
      <w:r w:rsidR="00D546DA">
        <w:t>, we retrain survey items with standard error &gt; 0.05 and missing rate &lt; 0.05.</w:t>
      </w:r>
    </w:p>
    <w:p w14:paraId="0D636F1E" w14:textId="72716DA6" w:rsidR="001C6DEE" w:rsidRDefault="00B005D5" w:rsidP="001C6DEE">
      <w:r>
        <w:t xml:space="preserve">After </w:t>
      </w:r>
      <w:r w:rsidR="001C6DEE">
        <w:t xml:space="preserve">calculating </w:t>
      </w:r>
      <w:r w:rsidR="004758E9">
        <w:t xml:space="preserve">the “kinship” matrices </w:t>
      </w:r>
      <w:r>
        <w:t xml:space="preserve">based on </w:t>
      </w:r>
      <w:r w:rsidR="004758E9">
        <w:t>exposome A, B and H, we added a</w:t>
      </w:r>
      <w:r w:rsidR="00457932">
        <w:t xml:space="preserve"> small value (</w:t>
      </w:r>
      <w:r w:rsidR="008B0700" w:rsidRPr="008B0700">
        <w:t>1.</w:t>
      </w:r>
      <w:r w:rsidR="008B0700">
        <w:t>5x10</w:t>
      </w:r>
      <w:r w:rsidR="008B0700" w:rsidRPr="008B0700">
        <w:rPr>
          <w:vertAlign w:val="superscript"/>
        </w:rPr>
        <w:t>-8</w:t>
      </w:r>
      <w:r w:rsidR="008B0700">
        <w:t>) to the diagonal</w:t>
      </w:r>
      <w:r>
        <w:t xml:space="preserve">s of </w:t>
      </w:r>
      <w:r w:rsidRPr="00B005D5">
        <w:rPr>
          <w:b/>
          <w:bCs/>
        </w:rPr>
        <w:t>K</w:t>
      </w:r>
      <w:r w:rsidRPr="00B005D5">
        <w:rPr>
          <w:b/>
          <w:bCs/>
          <w:vertAlign w:val="subscript"/>
        </w:rPr>
        <w:t>A</w:t>
      </w:r>
      <w:r>
        <w:t xml:space="preserve">, </w:t>
      </w:r>
      <w:r w:rsidRPr="00B005D5">
        <w:rPr>
          <w:b/>
          <w:bCs/>
        </w:rPr>
        <w:t>K</w:t>
      </w:r>
      <w:r w:rsidRPr="00B005D5">
        <w:rPr>
          <w:b/>
          <w:bCs/>
          <w:vertAlign w:val="subscript"/>
        </w:rPr>
        <w:t>B</w:t>
      </w:r>
      <w:r>
        <w:t xml:space="preserve">, and </w:t>
      </w:r>
      <w:r w:rsidRPr="00B005D5">
        <w:rPr>
          <w:b/>
          <w:bCs/>
        </w:rPr>
        <w:t>K</w:t>
      </w:r>
      <w:r w:rsidRPr="00B005D5">
        <w:rPr>
          <w:b/>
          <w:bCs/>
          <w:vertAlign w:val="subscript"/>
        </w:rPr>
        <w:t>H</w:t>
      </w:r>
      <w:r>
        <w:t>, respectively,</w:t>
      </w:r>
      <w:r w:rsidR="008B0700">
        <w:t xml:space="preserve"> to improve the </w:t>
      </w:r>
      <w:r w:rsidR="00654B9F">
        <w:t xml:space="preserve">condition of the matrices, so they are </w:t>
      </w:r>
      <w:r>
        <w:t>guaranteed invertible</w:t>
      </w:r>
      <w:r w:rsidR="00654B9F">
        <w:t>.</w:t>
      </w:r>
    </w:p>
    <w:p w14:paraId="7F4E79EE" w14:textId="77777777" w:rsidR="00F60110" w:rsidRDefault="00F60110" w:rsidP="000B3743"/>
    <w:sectPr w:rsidR="00F60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4468" w14:textId="77777777" w:rsidR="001742CC" w:rsidRDefault="001742CC" w:rsidP="00B56594">
      <w:pPr>
        <w:spacing w:after="0"/>
      </w:pPr>
      <w:r>
        <w:separator/>
      </w:r>
    </w:p>
  </w:endnote>
  <w:endnote w:type="continuationSeparator" w:id="0">
    <w:p w14:paraId="7C302EE8" w14:textId="77777777" w:rsidR="001742CC" w:rsidRDefault="001742CC" w:rsidP="00B5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8790" w14:textId="77777777" w:rsidR="00B56594" w:rsidRDefault="00B56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7FFD" w14:textId="77777777" w:rsidR="00B56594" w:rsidRDefault="00B56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3394" w14:textId="77777777" w:rsidR="00B56594" w:rsidRDefault="00B56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474D" w14:textId="77777777" w:rsidR="001742CC" w:rsidRDefault="001742CC" w:rsidP="00B56594">
      <w:pPr>
        <w:spacing w:after="0"/>
      </w:pPr>
      <w:r>
        <w:separator/>
      </w:r>
    </w:p>
  </w:footnote>
  <w:footnote w:type="continuationSeparator" w:id="0">
    <w:p w14:paraId="0BB44873" w14:textId="77777777" w:rsidR="001742CC" w:rsidRDefault="001742CC" w:rsidP="00B5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1A6F" w14:textId="77777777" w:rsidR="00B56594" w:rsidRDefault="00B56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C6D4" w14:textId="77777777" w:rsidR="00B56594" w:rsidRDefault="00B56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0010" w14:textId="77777777" w:rsidR="00B56594" w:rsidRDefault="00B56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2A8E"/>
    <w:multiLevelType w:val="hybridMultilevel"/>
    <w:tmpl w:val="80C68F3E"/>
    <w:lvl w:ilvl="0" w:tplc="A198C6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6906"/>
    <w:multiLevelType w:val="hybridMultilevel"/>
    <w:tmpl w:val="B9BC041E"/>
    <w:lvl w:ilvl="0" w:tplc="F8CE98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0763"/>
    <w:multiLevelType w:val="hybridMultilevel"/>
    <w:tmpl w:val="199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3890">
    <w:abstractNumId w:val="0"/>
  </w:num>
  <w:num w:numId="2" w16cid:durableId="2133984031">
    <w:abstractNumId w:val="1"/>
  </w:num>
  <w:num w:numId="3" w16cid:durableId="1874927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C5"/>
    <w:rsid w:val="0000059B"/>
    <w:rsid w:val="00005CB8"/>
    <w:rsid w:val="000215E8"/>
    <w:rsid w:val="00024E2B"/>
    <w:rsid w:val="000253C8"/>
    <w:rsid w:val="00053DD4"/>
    <w:rsid w:val="0007695C"/>
    <w:rsid w:val="000963B5"/>
    <w:rsid w:val="000B3743"/>
    <w:rsid w:val="0010528B"/>
    <w:rsid w:val="00114824"/>
    <w:rsid w:val="00116B56"/>
    <w:rsid w:val="001553FC"/>
    <w:rsid w:val="001571A1"/>
    <w:rsid w:val="001742CC"/>
    <w:rsid w:val="00195B36"/>
    <w:rsid w:val="001C503E"/>
    <w:rsid w:val="001C6DEE"/>
    <w:rsid w:val="001D6613"/>
    <w:rsid w:val="001F5A43"/>
    <w:rsid w:val="00204F29"/>
    <w:rsid w:val="00256BA7"/>
    <w:rsid w:val="00296446"/>
    <w:rsid w:val="002B67CF"/>
    <w:rsid w:val="002D7E26"/>
    <w:rsid w:val="002E243F"/>
    <w:rsid w:val="00325A37"/>
    <w:rsid w:val="00343EC5"/>
    <w:rsid w:val="003474AE"/>
    <w:rsid w:val="003818C9"/>
    <w:rsid w:val="003A03DF"/>
    <w:rsid w:val="003A1835"/>
    <w:rsid w:val="003D65FB"/>
    <w:rsid w:val="003F2753"/>
    <w:rsid w:val="003F4F8E"/>
    <w:rsid w:val="00411B5D"/>
    <w:rsid w:val="00421B29"/>
    <w:rsid w:val="00457932"/>
    <w:rsid w:val="004758E9"/>
    <w:rsid w:val="004B0C77"/>
    <w:rsid w:val="004C5F05"/>
    <w:rsid w:val="004C75D3"/>
    <w:rsid w:val="004D21C4"/>
    <w:rsid w:val="004D5514"/>
    <w:rsid w:val="00501A48"/>
    <w:rsid w:val="0051194C"/>
    <w:rsid w:val="00516956"/>
    <w:rsid w:val="00525818"/>
    <w:rsid w:val="0054733B"/>
    <w:rsid w:val="00560222"/>
    <w:rsid w:val="00581ADB"/>
    <w:rsid w:val="005B5799"/>
    <w:rsid w:val="005E788E"/>
    <w:rsid w:val="005F0F95"/>
    <w:rsid w:val="00604C33"/>
    <w:rsid w:val="00604FE7"/>
    <w:rsid w:val="00605623"/>
    <w:rsid w:val="00630A6E"/>
    <w:rsid w:val="00635C64"/>
    <w:rsid w:val="0064656F"/>
    <w:rsid w:val="00654B9F"/>
    <w:rsid w:val="0066789F"/>
    <w:rsid w:val="00682F0F"/>
    <w:rsid w:val="0069070A"/>
    <w:rsid w:val="00691CCB"/>
    <w:rsid w:val="006A0307"/>
    <w:rsid w:val="006A0ACB"/>
    <w:rsid w:val="006C0938"/>
    <w:rsid w:val="006C4831"/>
    <w:rsid w:val="006D08A7"/>
    <w:rsid w:val="006D254E"/>
    <w:rsid w:val="006D37F3"/>
    <w:rsid w:val="006D4367"/>
    <w:rsid w:val="006E51BA"/>
    <w:rsid w:val="006F0825"/>
    <w:rsid w:val="007002DA"/>
    <w:rsid w:val="00743DCB"/>
    <w:rsid w:val="0074526C"/>
    <w:rsid w:val="007457CD"/>
    <w:rsid w:val="007460AA"/>
    <w:rsid w:val="007534EA"/>
    <w:rsid w:val="00753C7C"/>
    <w:rsid w:val="00777759"/>
    <w:rsid w:val="007866A7"/>
    <w:rsid w:val="007E43AE"/>
    <w:rsid w:val="007F762A"/>
    <w:rsid w:val="00815CAE"/>
    <w:rsid w:val="0083560D"/>
    <w:rsid w:val="0089473D"/>
    <w:rsid w:val="008B0700"/>
    <w:rsid w:val="008D411F"/>
    <w:rsid w:val="008F67D9"/>
    <w:rsid w:val="009062C0"/>
    <w:rsid w:val="00923215"/>
    <w:rsid w:val="0093495D"/>
    <w:rsid w:val="009355A6"/>
    <w:rsid w:val="00956056"/>
    <w:rsid w:val="0098761D"/>
    <w:rsid w:val="00995090"/>
    <w:rsid w:val="009C2EA9"/>
    <w:rsid w:val="009E2590"/>
    <w:rsid w:val="00A00FA5"/>
    <w:rsid w:val="00A14C2A"/>
    <w:rsid w:val="00A17086"/>
    <w:rsid w:val="00A31997"/>
    <w:rsid w:val="00A33B87"/>
    <w:rsid w:val="00A477B5"/>
    <w:rsid w:val="00A56378"/>
    <w:rsid w:val="00A57045"/>
    <w:rsid w:val="00A66BB9"/>
    <w:rsid w:val="00A7184E"/>
    <w:rsid w:val="00AE622A"/>
    <w:rsid w:val="00AF4F55"/>
    <w:rsid w:val="00B005D5"/>
    <w:rsid w:val="00B13A86"/>
    <w:rsid w:val="00B56594"/>
    <w:rsid w:val="00B85C65"/>
    <w:rsid w:val="00BC649A"/>
    <w:rsid w:val="00C2363A"/>
    <w:rsid w:val="00C35E74"/>
    <w:rsid w:val="00C43722"/>
    <w:rsid w:val="00C61497"/>
    <w:rsid w:val="00C64975"/>
    <w:rsid w:val="00C83184"/>
    <w:rsid w:val="00C876C7"/>
    <w:rsid w:val="00C95A33"/>
    <w:rsid w:val="00CB686E"/>
    <w:rsid w:val="00CC7513"/>
    <w:rsid w:val="00CF58C2"/>
    <w:rsid w:val="00D20D9B"/>
    <w:rsid w:val="00D234B2"/>
    <w:rsid w:val="00D51CDD"/>
    <w:rsid w:val="00D546DA"/>
    <w:rsid w:val="00D821B1"/>
    <w:rsid w:val="00DC315C"/>
    <w:rsid w:val="00DF2427"/>
    <w:rsid w:val="00DF33CB"/>
    <w:rsid w:val="00E05B76"/>
    <w:rsid w:val="00E147BC"/>
    <w:rsid w:val="00E16C18"/>
    <w:rsid w:val="00E636EF"/>
    <w:rsid w:val="00E816AB"/>
    <w:rsid w:val="00E9771C"/>
    <w:rsid w:val="00EB65BE"/>
    <w:rsid w:val="00ED4F43"/>
    <w:rsid w:val="00ED5503"/>
    <w:rsid w:val="00ED5AC4"/>
    <w:rsid w:val="00F232BF"/>
    <w:rsid w:val="00F304BD"/>
    <w:rsid w:val="00F5258F"/>
    <w:rsid w:val="00F56D42"/>
    <w:rsid w:val="00F60110"/>
    <w:rsid w:val="00FA05E9"/>
    <w:rsid w:val="00FA1FCD"/>
    <w:rsid w:val="00FA2800"/>
    <w:rsid w:val="00FB1D9F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DF5C"/>
  <w15:chartTrackingRefBased/>
  <w15:docId w15:val="{AF3F61A4-95DA-A24C-9C61-9D886A8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743"/>
    <w:pPr>
      <w:spacing w:after="2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76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6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7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7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A03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31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65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6594"/>
  </w:style>
  <w:style w:type="paragraph" w:styleId="Footer">
    <w:name w:val="footer"/>
    <w:basedOn w:val="Normal"/>
    <w:link w:val="FooterChar"/>
    <w:uiPriority w:val="99"/>
    <w:unhideWhenUsed/>
    <w:rsid w:val="00B565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156</cp:revision>
  <dcterms:created xsi:type="dcterms:W3CDTF">2022-04-28T17:15:00Z</dcterms:created>
  <dcterms:modified xsi:type="dcterms:W3CDTF">2022-04-29T15:49:00Z</dcterms:modified>
</cp:coreProperties>
</file>