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E560" w14:textId="77777777" w:rsidR="002521A5" w:rsidRDefault="002521A5" w:rsidP="002521A5">
      <w:pPr>
        <w:pStyle w:val="Heading1"/>
      </w:pPr>
      <w:r w:rsidRPr="002D676C">
        <w:t>References</w:t>
      </w:r>
    </w:p>
    <w:p w14:paraId="17E85404" w14:textId="77777777" w:rsidR="002521A5" w:rsidRPr="008C7A4E" w:rsidRDefault="002521A5" w:rsidP="002521A5">
      <w:pPr>
        <w:pStyle w:val="EndNoteBibliography"/>
      </w:pPr>
      <w:r>
        <w:rPr>
          <w:sz w:val="20"/>
          <w:szCs w:val="20"/>
        </w:rPr>
        <w:fldChar w:fldCharType="begin"/>
      </w:r>
      <w:r>
        <w:rPr>
          <w:sz w:val="20"/>
          <w:szCs w:val="20"/>
        </w:rPr>
        <w:instrText xml:space="preserve"> ADDIN EN.REFLIST </w:instrText>
      </w:r>
      <w:r>
        <w:rPr>
          <w:sz w:val="20"/>
          <w:szCs w:val="20"/>
        </w:rPr>
        <w:fldChar w:fldCharType="separate"/>
      </w:r>
      <w:r w:rsidRPr="008C7A4E">
        <w:t>1.</w:t>
      </w:r>
      <w:r w:rsidRPr="008C7A4E">
        <w:tab/>
        <w:t>Eichler EE, Flint J, Gibson G, Kong A, Leal SM, Moore JH, et al. Missing heritability and strategies for finding the underlying causes of complex disease. Nat Rev Genet. 2010;11(6):446-50.</w:t>
      </w:r>
    </w:p>
    <w:p w14:paraId="46EBE383" w14:textId="77777777" w:rsidR="002521A5" w:rsidRPr="008C7A4E" w:rsidRDefault="002521A5" w:rsidP="002521A5">
      <w:pPr>
        <w:pStyle w:val="EndNoteBibliography"/>
      </w:pPr>
      <w:r w:rsidRPr="008C7A4E">
        <w:t>2.</w:t>
      </w:r>
      <w:r w:rsidRPr="008C7A4E">
        <w:tab/>
        <w:t xml:space="preserve">van Ijzendoorn MH, Bakermans-Kranenburg MJ, Belsky J, Beach S, Brody G, Dodge KA, et al. Gene-by-environment experiments: a new approach to finding the missing heritability. Nat Rev Genet. 2011;12(12):881; author reply </w:t>
      </w:r>
    </w:p>
    <w:p w14:paraId="6283EC0F" w14:textId="77777777" w:rsidR="002521A5" w:rsidRPr="008C7A4E" w:rsidRDefault="002521A5" w:rsidP="002521A5">
      <w:pPr>
        <w:pStyle w:val="EndNoteBibliography"/>
      </w:pPr>
      <w:r w:rsidRPr="008C7A4E">
        <w:t>3.</w:t>
      </w:r>
      <w:r w:rsidRPr="008C7A4E">
        <w:tab/>
        <w:t>Cao Y, Wei P, Bailey M, Kauwe JSK, Maxwell TJ. A versatile omnibus test for detecting mean and variance heterogeneity. Genet Epidemiol. 2014;38(1):51-9.</w:t>
      </w:r>
    </w:p>
    <w:p w14:paraId="7A03E29F" w14:textId="77777777" w:rsidR="002521A5" w:rsidRPr="008C7A4E" w:rsidRDefault="002521A5" w:rsidP="002521A5">
      <w:pPr>
        <w:pStyle w:val="EndNoteBibliography"/>
      </w:pPr>
      <w:r w:rsidRPr="008C7A4E">
        <w:t>4.</w:t>
      </w:r>
      <w:r w:rsidRPr="008C7A4E">
        <w:tab/>
        <w:t>Deng WQ, Asma S, Paré G. Meta-analysis of SNPs involved in variance heterogeneity using Levene's test for equal variances. Eur J Hum Genet. 2014;22(3):427-30.</w:t>
      </w:r>
    </w:p>
    <w:p w14:paraId="0219F28A" w14:textId="77777777" w:rsidR="002521A5" w:rsidRPr="008C7A4E" w:rsidRDefault="002521A5" w:rsidP="002521A5">
      <w:pPr>
        <w:pStyle w:val="EndNoteBibliography"/>
      </w:pPr>
      <w:r w:rsidRPr="008C7A4E">
        <w:t>5.</w:t>
      </w:r>
      <w:r w:rsidRPr="008C7A4E">
        <w:tab/>
        <w:t>Struchalin MV, Amin N, Eilers PH, van Duijn CM, Aulchenko YS. An R package "VariABEL" for genome-wide searching of potentially interacting loci by testing genotypic variance heterogeneity. BMC Genet. 2012;13:4.</w:t>
      </w:r>
    </w:p>
    <w:p w14:paraId="387A4684" w14:textId="77777777" w:rsidR="002521A5" w:rsidRPr="008C7A4E" w:rsidRDefault="002521A5" w:rsidP="002521A5">
      <w:pPr>
        <w:pStyle w:val="EndNoteBibliography"/>
      </w:pPr>
      <w:r w:rsidRPr="008C7A4E">
        <w:t>6.</w:t>
      </w:r>
      <w:r w:rsidRPr="008C7A4E">
        <w:tab/>
        <w:t>Yang J, Loos RJ, Powell JE, Medland SE, Speliotes EK, Chasman DI, et al. FTO genotype is associated with phenotypic variability of body mass index. Nature. 2012;490(7419):267-72.</w:t>
      </w:r>
    </w:p>
    <w:p w14:paraId="45EFFA24" w14:textId="77777777" w:rsidR="002521A5" w:rsidRPr="008C7A4E" w:rsidRDefault="002521A5" w:rsidP="002521A5">
      <w:pPr>
        <w:pStyle w:val="EndNoteBibliography"/>
      </w:pPr>
      <w:r w:rsidRPr="008C7A4E">
        <w:t>7.</w:t>
      </w:r>
      <w:r w:rsidRPr="008C7A4E">
        <w:tab/>
        <w:t>Paré G, Cook NR, Ridker PM, Chasman DI. On the use of variance per genotype as a tool to identify quantitative trait interaction effects: a report from the Women's Genome Health Study. PLoS Genet. 2010;6(6):e1000981.</w:t>
      </w:r>
    </w:p>
    <w:p w14:paraId="225C0CCC" w14:textId="77777777" w:rsidR="002521A5" w:rsidRPr="008C7A4E" w:rsidRDefault="002521A5" w:rsidP="002521A5">
      <w:pPr>
        <w:pStyle w:val="EndNoteBibliography"/>
      </w:pPr>
      <w:r w:rsidRPr="008C7A4E">
        <w:t>8.</w:t>
      </w:r>
      <w:r w:rsidRPr="008C7A4E">
        <w:tab/>
        <w:t>Smyth GK. Generalized linear models with varying dispersion. Journal of the Royal Statistical Society: Series B (Methodological). 1989;51(1):47-60.</w:t>
      </w:r>
    </w:p>
    <w:p w14:paraId="4063C028" w14:textId="77777777" w:rsidR="002521A5" w:rsidRPr="008C7A4E" w:rsidRDefault="002521A5" w:rsidP="002521A5">
      <w:pPr>
        <w:pStyle w:val="EndNoteBibliography"/>
      </w:pPr>
      <w:r w:rsidRPr="008C7A4E">
        <w:t>9.</w:t>
      </w:r>
      <w:r w:rsidRPr="008C7A4E">
        <w:tab/>
        <w:t>Lee Y, Nelder JA. Double hierarchical generalized linear models (with discussion). Journal of the Royal Statistical Society: Series C (Applied Statistics). 2006;55(2):139-85.</w:t>
      </w:r>
    </w:p>
    <w:p w14:paraId="4DCF9466" w14:textId="77777777" w:rsidR="002521A5" w:rsidRPr="008C7A4E" w:rsidRDefault="002521A5" w:rsidP="002521A5">
      <w:pPr>
        <w:pStyle w:val="EndNoteBibliography"/>
      </w:pPr>
      <w:r w:rsidRPr="008C7A4E">
        <w:t>10.</w:t>
      </w:r>
      <w:r w:rsidRPr="008C7A4E">
        <w:tab/>
        <w:t>Rönnegård L, Felleki M, Fikse F, Mulder HA, Strandberg E. Genetic heterogeneity of residual variance - estimation of variance components using double hierarchical generalized linear models. Genet Sel Evol. 2010;42(1):8.</w:t>
      </w:r>
    </w:p>
    <w:p w14:paraId="2F7CED0A" w14:textId="77777777" w:rsidR="002521A5" w:rsidRPr="008C7A4E" w:rsidRDefault="002521A5" w:rsidP="002521A5">
      <w:pPr>
        <w:pStyle w:val="EndNoteBibliography"/>
      </w:pPr>
      <w:r w:rsidRPr="008C7A4E">
        <w:t>11.</w:t>
      </w:r>
      <w:r w:rsidRPr="008C7A4E">
        <w:tab/>
        <w:t>Rönnegård L, Valdar W. Detecting major genetic loci controlling phenotypic variability in experimental crosses. Genetics. 2011;188(2):435-47.</w:t>
      </w:r>
    </w:p>
    <w:p w14:paraId="669E6642" w14:textId="77777777" w:rsidR="002521A5" w:rsidRPr="008C7A4E" w:rsidRDefault="002521A5" w:rsidP="002521A5">
      <w:pPr>
        <w:pStyle w:val="EndNoteBibliography"/>
      </w:pPr>
      <w:r w:rsidRPr="008C7A4E">
        <w:t>12.</w:t>
      </w:r>
      <w:r w:rsidRPr="008C7A4E">
        <w:tab/>
        <w:t>Marderstein AR, Davenport ER, Kulm S, Van Hout CV, Elemento O, Clark AG. Leveraging phenotypic variability to identify genetic interactions in human phenotypes. Am J Hum Genet. 2021;108(1):49-67.</w:t>
      </w:r>
    </w:p>
    <w:p w14:paraId="65C5D2B5" w14:textId="77777777" w:rsidR="002521A5" w:rsidRPr="008C7A4E" w:rsidRDefault="002521A5" w:rsidP="002521A5">
      <w:pPr>
        <w:pStyle w:val="EndNoteBibliography"/>
      </w:pPr>
      <w:r w:rsidRPr="008C7A4E">
        <w:t>13.</w:t>
      </w:r>
      <w:r w:rsidRPr="008C7A4E">
        <w:tab/>
        <w:t>Wang H, Zhang F, Zeng J, Wu Y, Kemper KE, Xue A, et al. Genotype-by-environment interactions inferred from genetic effects on phenotypic variability in the UK Biobank. Sci Adv. 2019;5(8):eaaw3538.</w:t>
      </w:r>
    </w:p>
    <w:p w14:paraId="713156B2" w14:textId="77777777" w:rsidR="002521A5" w:rsidRPr="008C7A4E" w:rsidRDefault="002521A5" w:rsidP="002521A5">
      <w:pPr>
        <w:pStyle w:val="EndNoteBibliography"/>
      </w:pPr>
      <w:r w:rsidRPr="008C7A4E">
        <w:t>14.</w:t>
      </w:r>
      <w:r w:rsidRPr="008C7A4E">
        <w:tab/>
        <w:t>Brown MB, Forsythe AB. Robust tests for the equality of variances. Journal of the American Statistical Association. 1974;69(346):364-7.</w:t>
      </w:r>
    </w:p>
    <w:p w14:paraId="0CD7EEEA" w14:textId="77777777" w:rsidR="002521A5" w:rsidRPr="008C7A4E" w:rsidRDefault="002521A5" w:rsidP="002521A5">
      <w:pPr>
        <w:pStyle w:val="EndNoteBibliography"/>
      </w:pPr>
      <w:r w:rsidRPr="008C7A4E">
        <w:t>15.</w:t>
      </w:r>
      <w:r w:rsidRPr="008C7A4E">
        <w:tab/>
        <w:t>Levene H. Robust tests for equality of variances. Contributions to probability and statistics Essays in honor of Harold Hotelling. 1961:279-92.</w:t>
      </w:r>
    </w:p>
    <w:p w14:paraId="52F55169" w14:textId="77777777" w:rsidR="002521A5" w:rsidRPr="008C7A4E" w:rsidRDefault="002521A5" w:rsidP="002521A5">
      <w:pPr>
        <w:pStyle w:val="EndNoteBibliography"/>
      </w:pPr>
      <w:r w:rsidRPr="008C7A4E">
        <w:t>16.</w:t>
      </w:r>
      <w:r w:rsidRPr="008C7A4E">
        <w:tab/>
        <w:t>Bycroft C, Freeman C, Petkova D, Band G, Elliott LT, Sharp K, et al. The UK Biobank resource with deep phenotyping and genomic data. Nature. 2018;562(7726):203-9.</w:t>
      </w:r>
    </w:p>
    <w:p w14:paraId="28411126" w14:textId="77777777" w:rsidR="002521A5" w:rsidRPr="008C7A4E" w:rsidRDefault="002521A5" w:rsidP="002521A5">
      <w:pPr>
        <w:pStyle w:val="EndNoteBibliography"/>
      </w:pPr>
      <w:r w:rsidRPr="008C7A4E">
        <w:lastRenderedPageBreak/>
        <w:t>17.</w:t>
      </w:r>
      <w:r w:rsidRPr="008C7A4E">
        <w:tab/>
        <w:t>Sudlow C, Gallacher J, Allen N, Beral V, Burton P, Danesh J, et al. UK biobank: an open access resource for identifying the causes of a wide range of complex diseases of middle and old age. PLoS Med. 2015;12(3):e1001779.</w:t>
      </w:r>
    </w:p>
    <w:p w14:paraId="633B96C6" w14:textId="77777777" w:rsidR="002521A5" w:rsidRPr="008C7A4E" w:rsidRDefault="002521A5" w:rsidP="002521A5">
      <w:pPr>
        <w:pStyle w:val="EndNoteBibliography"/>
      </w:pPr>
      <w:r w:rsidRPr="008C7A4E">
        <w:t>18.</w:t>
      </w:r>
      <w:r w:rsidRPr="008C7A4E">
        <w:tab/>
        <w:t>Pain D, Dancis A. Roles of Fe-S proteins: from cofactor synthesis to iron homeostasis to protein synthesis. Curr Opin Genet Dev. 2016;38:45-51.</w:t>
      </w:r>
    </w:p>
    <w:p w14:paraId="00141E13" w14:textId="77777777" w:rsidR="002521A5" w:rsidRPr="008C7A4E" w:rsidRDefault="002521A5" w:rsidP="002521A5">
      <w:pPr>
        <w:pStyle w:val="EndNoteBibliography"/>
      </w:pPr>
      <w:r w:rsidRPr="008C7A4E">
        <w:t>19.</w:t>
      </w:r>
      <w:r w:rsidRPr="008C7A4E">
        <w:tab/>
        <w:t>Allikmets R, Raskind WH, Hutchinson A, Schueck ND, Dean M, Koeller DM. Mutation of a putative mitochondrial iron transporter gene (ABC7) in X-linked sideroblastic anemia and ataxia (XLSA/A). Hum Mol Genet. 1999;8(5):743-9.</w:t>
      </w:r>
    </w:p>
    <w:p w14:paraId="1ED260D9" w14:textId="77777777" w:rsidR="002521A5" w:rsidRPr="008C7A4E" w:rsidRDefault="002521A5" w:rsidP="002521A5">
      <w:pPr>
        <w:pStyle w:val="EndNoteBibliography"/>
      </w:pPr>
      <w:r w:rsidRPr="008C7A4E">
        <w:t>20.</w:t>
      </w:r>
      <w:r w:rsidRPr="008C7A4E">
        <w:tab/>
        <w:t xml:space="preserve">Podhajny RM. A Brief Chemistry Lesson On Printing Ink Pigments. Paper, Film &amp; Foil Converter Magazine [Internet]. 2001. Available from: </w:t>
      </w:r>
      <w:hyperlink r:id="rId4" w:history="1">
        <w:r w:rsidRPr="008C7A4E">
          <w:rPr>
            <w:rStyle w:val="Hyperlink"/>
          </w:rPr>
          <w:t>https://www.pffc-online.com/magazine/782-paper-brief-chemistry-lesson</w:t>
        </w:r>
      </w:hyperlink>
      <w:r w:rsidRPr="008C7A4E">
        <w:t>.</w:t>
      </w:r>
    </w:p>
    <w:p w14:paraId="07DA232D" w14:textId="77777777" w:rsidR="002521A5" w:rsidRPr="008C7A4E" w:rsidRDefault="002521A5" w:rsidP="002521A5">
      <w:pPr>
        <w:pStyle w:val="EndNoteBibliography"/>
      </w:pPr>
      <w:r w:rsidRPr="008C7A4E">
        <w:t>21.</w:t>
      </w:r>
      <w:r w:rsidRPr="008C7A4E">
        <w:tab/>
        <w:t>Silaghi CA, Silaghi H, Colosi HA, Craciun AE, Farcas A, Cosma DT, et al. Prevalence and predictors of non-alcoholic fatty liver disease as defined by the fatty liver index in a type 2 diabetes population. Clujul Med. 2016;89(1):82-8.</w:t>
      </w:r>
    </w:p>
    <w:p w14:paraId="56843B41" w14:textId="77777777" w:rsidR="002521A5" w:rsidRPr="008C7A4E" w:rsidRDefault="002521A5" w:rsidP="002521A5">
      <w:pPr>
        <w:pStyle w:val="EndNoteBibliography"/>
      </w:pPr>
      <w:r w:rsidRPr="008C7A4E">
        <w:t>22.</w:t>
      </w:r>
      <w:r w:rsidRPr="008C7A4E">
        <w:tab/>
        <w:t>Lonardo A, Lugari S, Ballestri S, Nascimbeni F, Baldelli E, Maurantonio M. A round trip from nonalcoholic fatty liver disease to diabetes: molecular targets to the rescue? Acta Diabetol. 2019;56(4):385-96.</w:t>
      </w:r>
    </w:p>
    <w:p w14:paraId="29E21883" w14:textId="77777777" w:rsidR="002521A5" w:rsidRPr="008C7A4E" w:rsidRDefault="002521A5" w:rsidP="002521A5">
      <w:pPr>
        <w:pStyle w:val="EndNoteBibliography"/>
      </w:pPr>
      <w:r w:rsidRPr="008C7A4E">
        <w:t>23.</w:t>
      </w:r>
      <w:r w:rsidRPr="008C7A4E">
        <w:tab/>
        <w:t>Xiao L, Shi XY, Li ZL, Li M, Zhang MM, Yan SJ, et al. Downregulation of LINC01508 contributes to cisplatin resistance in ovarian cancer via the regulation of the Hippo-YAP pathway. J Gynecol Oncol. 2021;32(5):e77.</w:t>
      </w:r>
    </w:p>
    <w:p w14:paraId="61D322A5" w14:textId="77777777" w:rsidR="002521A5" w:rsidRPr="008C7A4E" w:rsidRDefault="002521A5" w:rsidP="002521A5">
      <w:pPr>
        <w:pStyle w:val="EndNoteBibliography"/>
      </w:pPr>
      <w:r w:rsidRPr="008C7A4E">
        <w:t>24.</w:t>
      </w:r>
      <w:r w:rsidRPr="008C7A4E">
        <w:tab/>
        <w:t>Gui W, Zhu WF, Zhu Y, Tang S, Zheng F, Yin X, et al. LncRNAH19 improves insulin resistance in skeletal muscle by regulating heterogeneous nuclear ribonucleoprotein A1. Cell Commun Signal. 2020;18(1):173.</w:t>
      </w:r>
    </w:p>
    <w:p w14:paraId="7BE4F199" w14:textId="77777777" w:rsidR="002521A5" w:rsidRPr="008C7A4E" w:rsidRDefault="002521A5" w:rsidP="002521A5">
      <w:pPr>
        <w:pStyle w:val="EndNoteBibliography"/>
      </w:pPr>
      <w:r w:rsidRPr="008C7A4E">
        <w:t>25.</w:t>
      </w:r>
      <w:r w:rsidRPr="008C7A4E">
        <w:tab/>
        <w:t>Wang J, Yang W, Chen Z, Chen J, Meng Y, Feng B, et al. Long Noncoding RNA lncSHGL Recruits hnRNPA1 to Suppress Hepatic Gluconeogenesis and Lipogenesis. Diabetes. 2018;67(4):581-93.</w:t>
      </w:r>
    </w:p>
    <w:p w14:paraId="19157CBC" w14:textId="77777777" w:rsidR="002521A5" w:rsidRPr="008C7A4E" w:rsidRDefault="002521A5" w:rsidP="002521A5">
      <w:pPr>
        <w:pStyle w:val="EndNoteBibliography"/>
      </w:pPr>
      <w:r w:rsidRPr="008C7A4E">
        <w:t>26.</w:t>
      </w:r>
      <w:r w:rsidRPr="008C7A4E">
        <w:tab/>
        <w:t>Liu D, Liu F, Li Z, Pan S, Xie J, Zhao Z, et al. HNRNPA1-mediated exosomal sorting of miR-483-5p out of renal tubular epithelial cells promotes the progression of diabetic nephropathy-induced renal interstitial fibrosis. Cell Death Dis. 2021;12(3):255.</w:t>
      </w:r>
    </w:p>
    <w:p w14:paraId="685EFF67" w14:textId="77777777" w:rsidR="002521A5" w:rsidRPr="008C7A4E" w:rsidRDefault="002521A5" w:rsidP="002521A5">
      <w:pPr>
        <w:pStyle w:val="EndNoteBibliography"/>
      </w:pPr>
      <w:r w:rsidRPr="008C7A4E">
        <w:t>27.</w:t>
      </w:r>
      <w:r w:rsidRPr="008C7A4E">
        <w:tab/>
        <w:t>Zhao M, Shen L, Ouyang Z, Li M, Deng G, Yang C, et al. Loss of hnRNP A1 in murine skeletal muscle exacerbates high-fat diet-induced onset of insulin resistance and hepatic steatosis. J Mol Cell Biol. 2020;12(4):277-90.</w:t>
      </w:r>
    </w:p>
    <w:p w14:paraId="1F78FAB8" w14:textId="77777777" w:rsidR="002521A5" w:rsidRPr="008C7A4E" w:rsidRDefault="002521A5" w:rsidP="002521A5">
      <w:pPr>
        <w:pStyle w:val="EndNoteBibliography"/>
      </w:pPr>
      <w:r w:rsidRPr="008C7A4E">
        <w:t>28.</w:t>
      </w:r>
      <w:r w:rsidRPr="008C7A4E">
        <w:tab/>
        <w:t>Wei WQ, Bastarache LA, Carroll RJ, Marlo JE, Osterman TJ, Gamazon ER, et al. Evaluating phecodes, clinical classification software, and ICD-9-CM codes for phenome-wide association studies in the electronic health record. PLoS One. 2017;12(7):e0175508.</w:t>
      </w:r>
    </w:p>
    <w:p w14:paraId="7F3738AF" w14:textId="77777777" w:rsidR="002521A5" w:rsidRPr="008C7A4E" w:rsidRDefault="002521A5" w:rsidP="002521A5">
      <w:pPr>
        <w:pStyle w:val="EndNoteBibliography"/>
      </w:pPr>
      <w:r w:rsidRPr="008C7A4E">
        <w:t>29.</w:t>
      </w:r>
      <w:r w:rsidRPr="008C7A4E">
        <w:tab/>
        <w:t>Wu P, Gifford A, Meng X, Li X, Campbell H, Varley T, et al. Mapping ICD-10 and ICD-10-CM Codes to Phecodes: Workflow Development and Initial Evaluation. JMIR Med Inform. 2019;7(4):e14325.</w:t>
      </w:r>
    </w:p>
    <w:p w14:paraId="04869B99" w14:textId="77777777" w:rsidR="002521A5" w:rsidRPr="008C7A4E" w:rsidRDefault="002521A5" w:rsidP="002521A5">
      <w:pPr>
        <w:pStyle w:val="EndNoteBibliography"/>
      </w:pPr>
      <w:r w:rsidRPr="008C7A4E">
        <w:t>30.</w:t>
      </w:r>
      <w:r w:rsidRPr="008C7A4E">
        <w:tab/>
        <w:t>Chang CC, Chow CC, Tellier LC, Vattikuti S, Purcell SM, Lee JJ. Second-generation PLINK: rising to the challenge of larger and richer datasets. Gigascience. 2015;4(1):s13742-015-0047-8.</w:t>
      </w:r>
    </w:p>
    <w:p w14:paraId="3B0BE02C" w14:textId="77777777" w:rsidR="002521A5" w:rsidRPr="008C7A4E" w:rsidRDefault="002521A5" w:rsidP="002521A5">
      <w:pPr>
        <w:pStyle w:val="EndNoteBibliography"/>
      </w:pPr>
      <w:r w:rsidRPr="008C7A4E">
        <w:t>31.</w:t>
      </w:r>
      <w:r w:rsidRPr="008C7A4E">
        <w:tab/>
        <w:t>Purcell S, Neale B, Todd-Brown K, Thomas L, Ferreira MA, Bender D, et al. PLINK: a tool set for whole-genome association and population-based linkage analyses. Am J Hum Genet. 2007;81(3):559-75.</w:t>
      </w:r>
    </w:p>
    <w:p w14:paraId="51A3DC8A" w14:textId="77777777" w:rsidR="002521A5" w:rsidRPr="008C7A4E" w:rsidRDefault="002521A5" w:rsidP="002521A5">
      <w:pPr>
        <w:pStyle w:val="EndNoteBibliography"/>
      </w:pPr>
      <w:r w:rsidRPr="008C7A4E">
        <w:lastRenderedPageBreak/>
        <w:t>32.</w:t>
      </w:r>
      <w:r w:rsidRPr="008C7A4E">
        <w:tab/>
        <w:t xml:space="preserve">Chang CC. Plink binary biallelic genotype table 2021 [Available from: </w:t>
      </w:r>
      <w:hyperlink r:id="rId5" w:anchor="bed" w:history="1">
        <w:r w:rsidRPr="008C7A4E">
          <w:rPr>
            <w:rStyle w:val="Hyperlink"/>
          </w:rPr>
          <w:t>https://www.cog-genomics.org/plink/1.9/formats#bed</w:t>
        </w:r>
      </w:hyperlink>
      <w:r w:rsidRPr="008C7A4E">
        <w:t>.</w:t>
      </w:r>
    </w:p>
    <w:p w14:paraId="16506AD5" w14:textId="77777777" w:rsidR="002521A5" w:rsidRPr="008C7A4E" w:rsidRDefault="002521A5" w:rsidP="002521A5">
      <w:pPr>
        <w:pStyle w:val="EndNoteBibliography"/>
      </w:pPr>
      <w:r w:rsidRPr="008C7A4E">
        <w:t>33.</w:t>
      </w:r>
      <w:r w:rsidRPr="008C7A4E">
        <w:tab/>
        <w:t>Abecasis GR, Auton A, Brooks LD, DePristo MA, Durbin RM, Handsaker RE, et al. An integrated map of genetic variation from 1,092 human genomes. Nature. 2012;491(7422):56-65.</w:t>
      </w:r>
    </w:p>
    <w:p w14:paraId="261F38E9" w14:textId="77777777" w:rsidR="002521A5" w:rsidRPr="008C7A4E" w:rsidRDefault="002521A5" w:rsidP="002521A5">
      <w:pPr>
        <w:pStyle w:val="EndNoteBibliography"/>
      </w:pPr>
      <w:r w:rsidRPr="008C7A4E">
        <w:t>34.</w:t>
      </w:r>
      <w:r w:rsidRPr="008C7A4E">
        <w:tab/>
        <w:t>Auton A, Brooks LD, Durbin RM, Garrison EP, Kang HM, Korbel JO, et al. A global reference for human genetic variation. Nature. 2015;526(7571):68-74.</w:t>
      </w:r>
    </w:p>
    <w:p w14:paraId="16D6F9B8" w14:textId="77777777" w:rsidR="002521A5" w:rsidRPr="008C7A4E" w:rsidRDefault="002521A5" w:rsidP="002521A5">
      <w:pPr>
        <w:pStyle w:val="EndNoteBibliography"/>
      </w:pPr>
      <w:r w:rsidRPr="008C7A4E">
        <w:t>35.</w:t>
      </w:r>
      <w:r w:rsidRPr="008C7A4E">
        <w:tab/>
        <w:t>National Institute of Environmental Health Sciences. Personalized Environment and Genes Study Data Freeze 1.1. 2021.</w:t>
      </w:r>
    </w:p>
    <w:p w14:paraId="5036CEBA" w14:textId="77777777" w:rsidR="002521A5" w:rsidRPr="008C7A4E" w:rsidRDefault="002521A5" w:rsidP="002521A5">
      <w:pPr>
        <w:pStyle w:val="EndNoteBibliography"/>
      </w:pPr>
      <w:r w:rsidRPr="008C7A4E">
        <w:t>36.</w:t>
      </w:r>
      <w:r w:rsidRPr="008C7A4E">
        <w:tab/>
        <w:t>Wang K, Li M, Hakonarson H. ANNOVAR: functional annotation of genetic variants from high-throughput sequencing data. Nucleic Acids Res. 2010;38(16):e164.</w:t>
      </w:r>
    </w:p>
    <w:p w14:paraId="61A588F7" w14:textId="77777777" w:rsidR="002521A5" w:rsidRPr="008C7A4E" w:rsidRDefault="002521A5" w:rsidP="002521A5">
      <w:pPr>
        <w:pStyle w:val="EndNoteBibliography"/>
      </w:pPr>
      <w:r w:rsidRPr="008C7A4E">
        <w:t>37.</w:t>
      </w:r>
      <w:r w:rsidRPr="008C7A4E">
        <w:tab/>
        <w:t>Kircher M, Witten DM, Jain P, O'Roak BJ, Cooper GM, Shendure J. A general framework for estimating the relative pathogenicity of human genetic variants. Nat Genet. 2014;46(3):310-5.</w:t>
      </w:r>
    </w:p>
    <w:p w14:paraId="26844BF1" w14:textId="77777777" w:rsidR="002521A5" w:rsidRPr="008C7A4E" w:rsidRDefault="002521A5" w:rsidP="002521A5">
      <w:pPr>
        <w:pStyle w:val="EndNoteBibliography"/>
      </w:pPr>
      <w:r w:rsidRPr="008C7A4E">
        <w:t>38.</w:t>
      </w:r>
      <w:r w:rsidRPr="008C7A4E">
        <w:tab/>
        <w:t>Rentzsch P, Witten D, Cooper GM, Shendure J, Kircher M. CADD: predicting the deleteriousness of variants throughout the human genome. Nucleic Acids Res. 2019;47(D1):D886-d94.</w:t>
      </w:r>
    </w:p>
    <w:p w14:paraId="3C6218B8" w14:textId="77777777" w:rsidR="002521A5" w:rsidRPr="008C7A4E" w:rsidRDefault="002521A5" w:rsidP="002521A5">
      <w:pPr>
        <w:pStyle w:val="EndNoteBibliography"/>
      </w:pPr>
      <w:r w:rsidRPr="008C7A4E">
        <w:t>39.</w:t>
      </w:r>
      <w:r w:rsidRPr="008C7A4E">
        <w:tab/>
        <w:t>Wei W-Q, Bastarache LA, Carroll RJ, Marlo JE, Osterman TJ, Gamazon ER, et al. Evaluating phecodes, clinical classification software, and ICD-9-CM codes for phenome-wide association studies in the electronic health record. PLOS ONE. 2017;12(7):e0175508.</w:t>
      </w:r>
    </w:p>
    <w:p w14:paraId="1A5B1F37" w14:textId="77777777" w:rsidR="002521A5" w:rsidRPr="008C7A4E" w:rsidRDefault="002521A5" w:rsidP="002521A5">
      <w:pPr>
        <w:pStyle w:val="EndNoteBibliography"/>
      </w:pPr>
      <w:r w:rsidRPr="008C7A4E">
        <w:t>40.</w:t>
      </w:r>
      <w:r w:rsidRPr="008C7A4E">
        <w:tab/>
        <w:t>Wu P, Gifford A, Meng X, Li X, Campbell H, Varley T, et al. Developing and Evaluating Mappings of ICD-10 and ICD-10-CM codes to Phecodes. BioRxiv. 2019;</w:t>
      </w:r>
    </w:p>
    <w:p w14:paraId="34C948B0" w14:textId="77777777" w:rsidR="002521A5" w:rsidRPr="008C7A4E" w:rsidRDefault="002521A5" w:rsidP="002521A5">
      <w:pPr>
        <w:pStyle w:val="EndNoteBibliography"/>
      </w:pPr>
      <w:r w:rsidRPr="008C7A4E">
        <w:t>:462077.</w:t>
      </w:r>
    </w:p>
    <w:p w14:paraId="28F65B42" w14:textId="77777777" w:rsidR="002521A5" w:rsidRPr="008C7A4E" w:rsidRDefault="002521A5" w:rsidP="002521A5">
      <w:pPr>
        <w:pStyle w:val="EndNoteBibliography"/>
      </w:pPr>
      <w:r w:rsidRPr="008C7A4E">
        <w:t>41.</w:t>
      </w:r>
      <w:r w:rsidRPr="008C7A4E">
        <w:tab/>
        <w:t xml:space="preserve">World Health Organization. International Statistical Classification of Diseases and Related Health Problems (ICD) 2021 [Available from: </w:t>
      </w:r>
      <w:hyperlink r:id="rId6" w:history="1">
        <w:r w:rsidRPr="008C7A4E">
          <w:rPr>
            <w:rStyle w:val="Hyperlink"/>
          </w:rPr>
          <w:t>https://www.who.int/standards/classifications/classification-of-diseases</w:t>
        </w:r>
      </w:hyperlink>
      <w:r w:rsidRPr="008C7A4E">
        <w:t>.</w:t>
      </w:r>
    </w:p>
    <w:p w14:paraId="0E17CC38" w14:textId="77777777" w:rsidR="002521A5" w:rsidRPr="008C7A4E" w:rsidRDefault="002521A5" w:rsidP="002521A5">
      <w:pPr>
        <w:pStyle w:val="EndNoteBibliography"/>
      </w:pPr>
      <w:r w:rsidRPr="008C7A4E">
        <w:t>42.</w:t>
      </w:r>
      <w:r w:rsidRPr="008C7A4E">
        <w:tab/>
        <w:t>Bastarache L. Using Phecodes for Research with the Electronic Health Record: From PheWAS to PheRS. Annual Review of Biomedical Data Science. 2021;4(1):1-19.</w:t>
      </w:r>
    </w:p>
    <w:p w14:paraId="6ACA4C54" w14:textId="420240A2" w:rsidR="00114824" w:rsidRDefault="002521A5" w:rsidP="002521A5">
      <w:r>
        <w:fldChar w:fldCharType="end"/>
      </w:r>
    </w:p>
    <w:sectPr w:rsidR="00114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A5"/>
    <w:rsid w:val="00114824"/>
    <w:rsid w:val="00252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1777B8"/>
  <w15:chartTrackingRefBased/>
  <w15:docId w15:val="{FB0B208D-7B1B-A54C-AB49-8D73A58C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1A5"/>
    <w:pPr>
      <w:spacing w:after="120"/>
      <w:jc w:val="both"/>
    </w:pPr>
    <w:rPr>
      <w:sz w:val="22"/>
      <w:szCs w:val="22"/>
    </w:rPr>
  </w:style>
  <w:style w:type="paragraph" w:styleId="Heading1">
    <w:name w:val="heading 1"/>
    <w:basedOn w:val="Normal"/>
    <w:next w:val="Normal"/>
    <w:link w:val="Heading1Char"/>
    <w:uiPriority w:val="9"/>
    <w:qFormat/>
    <w:rsid w:val="002521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1A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521A5"/>
    <w:rPr>
      <w:color w:val="0563C1" w:themeColor="hyperlink"/>
      <w:u w:val="single"/>
    </w:rPr>
  </w:style>
  <w:style w:type="paragraph" w:customStyle="1" w:styleId="EndNoteBibliography">
    <w:name w:val="EndNote Bibliography"/>
    <w:basedOn w:val="Normal"/>
    <w:link w:val="EndNoteBibliographyChar"/>
    <w:rsid w:val="002521A5"/>
    <w:rPr>
      <w:rFonts w:ascii="Calibri" w:hAnsi="Calibri" w:cs="Calibri"/>
      <w:noProof/>
    </w:rPr>
  </w:style>
  <w:style w:type="character" w:customStyle="1" w:styleId="EndNoteBibliographyChar">
    <w:name w:val="EndNote Bibliography Char"/>
    <w:basedOn w:val="DefaultParagraphFont"/>
    <w:link w:val="EndNoteBibliography"/>
    <w:rsid w:val="002521A5"/>
    <w:rPr>
      <w:rFonts w:ascii="Calibr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standards/classifications/classification-of-diseases" TargetMode="External"/><Relationship Id="rId5" Type="http://schemas.openxmlformats.org/officeDocument/2006/relationships/hyperlink" Target="https://www.cog-genomics.org/plink/1.9/formats" TargetMode="External"/><Relationship Id="rId4" Type="http://schemas.openxmlformats.org/officeDocument/2006/relationships/hyperlink" Target="https://www.pffc-online.com/magazine/782-paper-brief-chemistry-les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1234</Words>
  <Characters>7035</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Xiaoran (NIH/NIEHS) [F]</dc:creator>
  <cp:keywords/>
  <dc:description/>
  <cp:lastModifiedBy>Tong, Xiaoran (NIH/NIEHS) [F]</cp:lastModifiedBy>
  <cp:revision>1</cp:revision>
  <dcterms:created xsi:type="dcterms:W3CDTF">2022-07-28T19:24:00Z</dcterms:created>
  <dcterms:modified xsi:type="dcterms:W3CDTF">2022-07-28T19:25:00Z</dcterms:modified>
</cp:coreProperties>
</file>