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33B3" w14:textId="5D9CB820" w:rsidR="005D60B8" w:rsidRPr="005D60B8" w:rsidRDefault="005D60B8" w:rsidP="001F1A99">
      <w:r w:rsidRPr="005D60B8">
        <w:t>Cataloging gene-environment interaction candidate SNPs for over 3,000 UK Biobank phenotypes through variance loci analysis</w:t>
      </w:r>
    </w:p>
    <w:p w14:paraId="7952FEC0" w14:textId="2D343524" w:rsidR="005D60B8" w:rsidRPr="001F1A99" w:rsidRDefault="005D60B8" w:rsidP="001F1A99">
      <w:r w:rsidRPr="001F1A99">
        <w:t>Detecting gene</w:t>
      </w:r>
      <w:r w:rsidR="00137C70" w:rsidRPr="001F1A99">
        <w:t>-</w:t>
      </w:r>
      <w:r w:rsidRPr="001F1A99">
        <w:t>by</w:t>
      </w:r>
      <w:r w:rsidR="00137C70" w:rsidRPr="001F1A99">
        <w:t>-</w:t>
      </w:r>
      <w:r w:rsidRPr="001F1A99">
        <w:t xml:space="preserve">environment (GxE) interactions enriches understanding of genetic effects </w:t>
      </w:r>
      <w:r w:rsidR="00864BFE">
        <w:t xml:space="preserve">on </w:t>
      </w:r>
      <w:r w:rsidR="00864BFE" w:rsidRPr="001F1A99">
        <w:t>disease</w:t>
      </w:r>
      <w:r w:rsidR="00864BFE">
        <w:t>s</w:t>
      </w:r>
      <w:r w:rsidR="00864BFE" w:rsidRPr="001F1A99">
        <w:t xml:space="preserve"> </w:t>
      </w:r>
      <w:r w:rsidRPr="001F1A99">
        <w:t xml:space="preserve">and </w:t>
      </w:r>
      <w:r w:rsidR="00137C70" w:rsidRPr="001F1A99">
        <w:t>helps</w:t>
      </w:r>
      <w:r w:rsidR="00864BFE">
        <w:t xml:space="preserve"> </w:t>
      </w:r>
      <w:r w:rsidRPr="001F1A99">
        <w:t>identify environmental targets for improving health. However,</w:t>
      </w:r>
      <w:r w:rsidR="00D56FAB">
        <w:t xml:space="preserve"> the </w:t>
      </w:r>
      <w:r w:rsidR="007C3459">
        <w:t>combined dimension</w:t>
      </w:r>
      <w:r w:rsidR="00864BFE">
        <w:t xml:space="preserve"> </w:t>
      </w:r>
      <w:r w:rsidR="00D56FAB">
        <w:t xml:space="preserve">of genome and </w:t>
      </w:r>
      <w:r w:rsidR="00864BFE" w:rsidRPr="001F1A99">
        <w:t xml:space="preserve">environmental </w:t>
      </w:r>
      <w:r w:rsidR="00D56FAB">
        <w:t>exposome</w:t>
      </w:r>
      <w:r w:rsidRPr="001F1A99">
        <w:t xml:space="preserve"> </w:t>
      </w:r>
      <w:r w:rsidR="00864BFE">
        <w:t>poses</w:t>
      </w:r>
      <w:r w:rsidR="00AB304E">
        <w:t xml:space="preserve"> </w:t>
      </w:r>
      <w:r w:rsidR="007C3459">
        <w:t xml:space="preserve">severe </w:t>
      </w:r>
      <w:r w:rsidR="00137C70" w:rsidRPr="001F1A99">
        <w:t>computational and statistical</w:t>
      </w:r>
      <w:r w:rsidR="00D6175B" w:rsidRPr="001F1A99">
        <w:t xml:space="preserve"> </w:t>
      </w:r>
      <w:r w:rsidR="00137C70" w:rsidRPr="001F1A99">
        <w:t>challenges</w:t>
      </w:r>
      <w:r w:rsidR="00864BFE">
        <w:t>.</w:t>
      </w:r>
      <w:r w:rsidR="00406615">
        <w:t xml:space="preserve"> </w:t>
      </w:r>
      <w:r w:rsidR="00923494">
        <w:t>V</w:t>
      </w:r>
      <w:r w:rsidRPr="001F1A99">
        <w:t xml:space="preserve">ariance quantitative trait loci (vQTL) </w:t>
      </w:r>
      <w:r w:rsidR="007C3459">
        <w:t>methods</w:t>
      </w:r>
      <w:r w:rsidRPr="001F1A99">
        <w:t xml:space="preserve"> </w:t>
      </w:r>
      <w:r w:rsidR="007C3459">
        <w:t>are</w:t>
      </w:r>
      <w:r w:rsidR="00864BFE">
        <w:t xml:space="preserve"> </w:t>
      </w:r>
      <w:r w:rsidR="007C3459">
        <w:t>introduced to</w:t>
      </w:r>
      <w:r w:rsidR="00864BFE">
        <w:t xml:space="preserve"> </w:t>
      </w:r>
      <w:r w:rsidR="00406615">
        <w:t xml:space="preserve">narrow down </w:t>
      </w:r>
      <w:r w:rsidRPr="001F1A99">
        <w:t xml:space="preserve">candidate single nucleotide polymorphisms (SNPs) for GxE interactions without exposome profiling. The rationale </w:t>
      </w:r>
      <w:r w:rsidR="00137C70" w:rsidRPr="001F1A99">
        <w:t xml:space="preserve">is </w:t>
      </w:r>
      <w:r w:rsidRPr="001F1A99">
        <w:t xml:space="preserve">that </w:t>
      </w:r>
      <w:r w:rsidR="00406615">
        <w:t xml:space="preserve">changes </w:t>
      </w:r>
      <w:r w:rsidR="00864BFE">
        <w:t>in</w:t>
      </w:r>
      <w:r w:rsidR="00406615">
        <w:t xml:space="preserve"> phenotypic</w:t>
      </w:r>
      <w:r w:rsidRPr="001F1A99">
        <w:t xml:space="preserve"> variance across allele dosages </w:t>
      </w:r>
      <w:r w:rsidR="00137C70" w:rsidRPr="001F1A99">
        <w:t xml:space="preserve">is </w:t>
      </w:r>
      <w:r w:rsidRPr="001F1A99">
        <w:t>indicative of unexplained environmental variance.</w:t>
      </w:r>
    </w:p>
    <w:p w14:paraId="273E2400" w14:textId="25AD62EC" w:rsidR="00261E32" w:rsidRDefault="006F2E8F" w:rsidP="001F1A99">
      <w:r>
        <w:t>W</w:t>
      </w:r>
      <w:r w:rsidRPr="005D60B8">
        <w:t>e propose variance locus analysis (VLA)</w:t>
      </w:r>
      <w:r>
        <w:t xml:space="preserve"> </w:t>
      </w:r>
      <w:r w:rsidR="00EE59B6">
        <w:t xml:space="preserve">as </w:t>
      </w:r>
      <w:r>
        <w:t xml:space="preserve">a </w:t>
      </w:r>
      <w:r w:rsidR="005D60B8" w:rsidRPr="005D60B8">
        <w:t>double linear model (DLM)</w:t>
      </w:r>
      <w:r>
        <w:t xml:space="preserve"> – the simplest additive vQTL method</w:t>
      </w:r>
      <w:r w:rsidR="007C3459">
        <w:t>,</w:t>
      </w:r>
      <w:r w:rsidR="006B0C9D">
        <w:t xml:space="preserve"> </w:t>
      </w:r>
      <w:r w:rsidR="005D60B8" w:rsidRPr="005D60B8">
        <w:t>augment</w:t>
      </w:r>
      <w:r>
        <w:t>ed</w:t>
      </w:r>
      <w:r w:rsidR="005D60B8" w:rsidRPr="005D60B8">
        <w:t xml:space="preserve"> </w:t>
      </w:r>
      <w:r>
        <w:t xml:space="preserve">with </w:t>
      </w:r>
      <w:r w:rsidR="005D60B8" w:rsidRPr="005D60B8">
        <w:t>squared allele dosage</w:t>
      </w:r>
      <w:r>
        <w:t>. VLA</w:t>
      </w:r>
      <w:r w:rsidR="00AE52E8">
        <w:t xml:space="preserve"> </w:t>
      </w:r>
      <w:r w:rsidR="00D6175B">
        <w:t>has</w:t>
      </w:r>
      <w:r w:rsidR="00D6175B" w:rsidRPr="005D60B8">
        <w:t xml:space="preserve"> </w:t>
      </w:r>
      <w:r>
        <w:t xml:space="preserve">shown </w:t>
      </w:r>
      <w:r w:rsidR="005D60B8" w:rsidRPr="005D60B8">
        <w:t>superior power to detect GxE candidates across a range of simulation</w:t>
      </w:r>
      <w:r w:rsidR="00D6175B">
        <w:t>s</w:t>
      </w:r>
      <w:r w:rsidR="005D60B8" w:rsidRPr="005D60B8">
        <w:t xml:space="preserve">. </w:t>
      </w:r>
      <w:r>
        <w:t>B</w:t>
      </w:r>
      <w:r w:rsidR="00AE52E8" w:rsidRPr="005D60B8">
        <w:t xml:space="preserve">y appropriately </w:t>
      </w:r>
      <w:r w:rsidR="00923494">
        <w:t>residualizing</w:t>
      </w:r>
      <w:r w:rsidR="00923494" w:rsidRPr="005D60B8">
        <w:t xml:space="preserve"> </w:t>
      </w:r>
      <w:r w:rsidR="00AE52E8" w:rsidRPr="005D60B8">
        <w:t xml:space="preserve">covariates, VLA </w:t>
      </w:r>
      <w:r>
        <w:t xml:space="preserve">can also </w:t>
      </w:r>
      <w:r w:rsidR="00923494">
        <w:t>be used to assess</w:t>
      </w:r>
      <w:r w:rsidR="00AE52E8" w:rsidRPr="005D60B8">
        <w:t xml:space="preserve"> </w:t>
      </w:r>
      <w:r w:rsidR="00923494">
        <w:t>GxE candidates in dichotomous outcomes</w:t>
      </w:r>
      <w:r w:rsidR="00AE52E8" w:rsidRPr="005D60B8">
        <w:t xml:space="preserve"> such as case-control</w:t>
      </w:r>
      <w:r w:rsidR="00EE59B6">
        <w:t xml:space="preserve"> </w:t>
      </w:r>
      <w:r>
        <w:t>where existing</w:t>
      </w:r>
      <w:r w:rsidR="00406615">
        <w:t xml:space="preserve"> </w:t>
      </w:r>
      <w:r w:rsidR="005D60B8" w:rsidRPr="005D60B8">
        <w:t>vQTL methods</w:t>
      </w:r>
      <w:r w:rsidR="00AE52E8">
        <w:t xml:space="preserve"> </w:t>
      </w:r>
      <w:r w:rsidR="00923494">
        <w:t>exhibit</w:t>
      </w:r>
      <w:r w:rsidR="007C3459">
        <w:t xml:space="preserve"> </w:t>
      </w:r>
      <w:r w:rsidR="005D60B8" w:rsidRPr="005D60B8">
        <w:t>uncontrolled false positive</w:t>
      </w:r>
      <w:r w:rsidR="00371EE2">
        <w:t>s</w:t>
      </w:r>
      <w:r w:rsidR="00AE52E8">
        <w:t>.</w:t>
      </w:r>
      <w:r w:rsidR="00EE59B6">
        <w:t xml:space="preserve"> </w:t>
      </w:r>
    </w:p>
    <w:p w14:paraId="34323701" w14:textId="2C5A16FC" w:rsidR="00D6175B" w:rsidRDefault="00D6175B" w:rsidP="001F1A99">
      <w:r w:rsidRPr="005D60B8">
        <w:t xml:space="preserve">We performed genome-wide VLA for </w:t>
      </w:r>
      <w:r w:rsidR="00F41A7E">
        <w:t xml:space="preserve">3,273 health and disease related phenotypes </w:t>
      </w:r>
      <w:r w:rsidRPr="005D60B8">
        <w:t>derived from the UK Biobank</w:t>
      </w:r>
      <w:r w:rsidR="00371EE2">
        <w:t xml:space="preserve"> to </w:t>
      </w:r>
      <w:r w:rsidR="00371EE2" w:rsidRPr="005D60B8">
        <w:t>create</w:t>
      </w:r>
      <w:r w:rsidRPr="005D60B8">
        <w:t xml:space="preserve"> the VLA</w:t>
      </w:r>
      <w:r w:rsidR="00371EE2">
        <w:t>-c</w:t>
      </w:r>
      <w:r w:rsidRPr="005D60B8">
        <w:t>atalog (</w:t>
      </w:r>
      <w:r w:rsidR="00371EE2" w:rsidRPr="00371EE2">
        <w:t>genelist.niehs.nih.gov/</w:t>
      </w:r>
      <w:proofErr w:type="spellStart"/>
      <w:r w:rsidR="00371EE2" w:rsidRPr="00371EE2">
        <w:t>vla</w:t>
      </w:r>
      <w:proofErr w:type="spellEnd"/>
      <w:r w:rsidRPr="005D60B8">
        <w:t xml:space="preserve">) </w:t>
      </w:r>
      <w:r w:rsidR="007C3459">
        <w:t xml:space="preserve">-- </w:t>
      </w:r>
      <w:r w:rsidR="00AE52E8" w:rsidRPr="005D60B8">
        <w:t>an</w:t>
      </w:r>
      <w:r w:rsidRPr="005D60B8">
        <w:t xml:space="preserve"> </w:t>
      </w:r>
      <w:r w:rsidR="00371EE2">
        <w:t xml:space="preserve">open </w:t>
      </w:r>
      <w:r w:rsidR="00AE52E8">
        <w:t xml:space="preserve">source </w:t>
      </w:r>
      <w:r w:rsidRPr="005D60B8">
        <w:t xml:space="preserve">for </w:t>
      </w:r>
      <w:r w:rsidR="00AE52E8">
        <w:t xml:space="preserve">GxE </w:t>
      </w:r>
      <w:r w:rsidR="00AE52E8" w:rsidRPr="005D60B8">
        <w:t>investigation in cohorts with measured environmental exposures</w:t>
      </w:r>
      <w:r w:rsidR="00AE52E8">
        <w:t>, as the catalog</w:t>
      </w:r>
      <w:r w:rsidR="00203892">
        <w:t xml:space="preserve"> </w:t>
      </w:r>
      <w:r w:rsidR="007C3459">
        <w:t>ranks</w:t>
      </w:r>
      <w:r w:rsidR="00AE52E8">
        <w:t xml:space="preserve"> </w:t>
      </w:r>
      <w:r w:rsidR="007C3459">
        <w:t xml:space="preserve">the </w:t>
      </w:r>
      <w:r w:rsidR="00AE52E8">
        <w:t>candidate GxE loci according to GWAS, vQTL and VLA</w:t>
      </w:r>
      <w:r w:rsidR="00AB304E">
        <w:t>.</w:t>
      </w:r>
    </w:p>
    <w:p w14:paraId="6DE7C676" w14:textId="093C44BD" w:rsidR="00CE01D8" w:rsidRDefault="006A69FD" w:rsidP="001F1A99">
      <w:r>
        <w:t>U</w:t>
      </w:r>
      <w:r w:rsidR="00EE59B6">
        <w:t>s</w:t>
      </w:r>
      <w:r>
        <w:t>ing the</w:t>
      </w:r>
      <w:r w:rsidR="005D60B8" w:rsidRPr="005D60B8">
        <w:t xml:space="preserve"> North-Carolina-based Personalized Environmental Genetic Study (PEGS) </w:t>
      </w:r>
      <w:r w:rsidR="000F505A">
        <w:t>with</w:t>
      </w:r>
      <w:r w:rsidR="00D6175B">
        <w:t xml:space="preserve"> w</w:t>
      </w:r>
      <w:r w:rsidR="005D60B8" w:rsidRPr="005D60B8">
        <w:t>hole genome sequencing and questionnaire</w:t>
      </w:r>
      <w:r w:rsidR="0035056D">
        <w:t>-</w:t>
      </w:r>
      <w:r w:rsidR="005D60B8" w:rsidRPr="005D60B8">
        <w:t>based expo</w:t>
      </w:r>
      <w:r w:rsidR="00EE59B6">
        <w:t>some</w:t>
      </w:r>
      <w:r w:rsidR="005D60B8" w:rsidRPr="005D60B8">
        <w:t xml:space="preserve"> collected </w:t>
      </w:r>
      <w:r w:rsidR="0035056D">
        <w:t>for</w:t>
      </w:r>
      <w:r w:rsidR="0035056D" w:rsidRPr="005D60B8">
        <w:t xml:space="preserve"> </w:t>
      </w:r>
      <w:r w:rsidR="006F030C">
        <w:t>4,737</w:t>
      </w:r>
      <w:r w:rsidR="006F030C" w:rsidRPr="005D60B8">
        <w:t xml:space="preserve"> </w:t>
      </w:r>
      <w:r w:rsidR="005D60B8" w:rsidRPr="005D60B8">
        <w:t>participants</w:t>
      </w:r>
      <w:r>
        <w:t>,</w:t>
      </w:r>
      <w:r w:rsidR="0035056D">
        <w:t xml:space="preserve"> </w:t>
      </w:r>
      <w:r>
        <w:t>w</w:t>
      </w:r>
      <w:r w:rsidR="0035056D">
        <w:t xml:space="preserve">e </w:t>
      </w:r>
      <w:r w:rsidR="00371EE2">
        <w:t xml:space="preserve">conducted GxE analysis </w:t>
      </w:r>
      <w:r w:rsidR="000F505A">
        <w:t xml:space="preserve">between 109 exposure and </w:t>
      </w:r>
      <w:r w:rsidR="00EE59B6">
        <w:t xml:space="preserve">SNPs </w:t>
      </w:r>
      <w:r w:rsidR="00923494">
        <w:t xml:space="preserve">using </w:t>
      </w:r>
      <w:r w:rsidR="002018B5">
        <w:t>top</w:t>
      </w:r>
      <w:r w:rsidR="00EE59B6">
        <w:t xml:space="preserve"> rank</w:t>
      </w:r>
      <w:r w:rsidR="00923494">
        <w:t>ed</w:t>
      </w:r>
      <w:r w:rsidR="005D60B8" w:rsidRPr="005D60B8">
        <w:t xml:space="preserve"> VLA</w:t>
      </w:r>
      <w:r w:rsidR="000F505A">
        <w:t xml:space="preserve"> loci </w:t>
      </w:r>
      <w:r w:rsidR="005D60B8" w:rsidRPr="005D60B8">
        <w:t>for T</w:t>
      </w:r>
      <w:r w:rsidR="006F030C">
        <w:t>ype 2 Diabetes</w:t>
      </w:r>
      <w:r w:rsidR="00CE01D8">
        <w:t xml:space="preserve"> (T2D)</w:t>
      </w:r>
      <w:r w:rsidR="00EE59B6">
        <w:t xml:space="preserve"> </w:t>
      </w:r>
      <w:r w:rsidR="007C3459">
        <w:t>from</w:t>
      </w:r>
      <w:r w:rsidR="002A4954">
        <w:t xml:space="preserve"> </w:t>
      </w:r>
      <w:r w:rsidR="0035056D" w:rsidRPr="005D60B8">
        <w:t xml:space="preserve">the </w:t>
      </w:r>
      <w:r w:rsidR="00261E32">
        <w:t>VLA-</w:t>
      </w:r>
      <w:r w:rsidR="006B0C9D" w:rsidRPr="005D60B8">
        <w:t>catalog</w:t>
      </w:r>
      <w:r w:rsidR="0035056D">
        <w:t xml:space="preserve">. </w:t>
      </w:r>
      <w:r w:rsidR="00EE59B6">
        <w:t>The</w:t>
      </w:r>
      <w:r w:rsidR="005D60B8" w:rsidRPr="005D60B8">
        <w:t xml:space="preserve"> top </w:t>
      </w:r>
      <w:r w:rsidR="00203892">
        <w:t>associati</w:t>
      </w:r>
      <w:r w:rsidR="000F505A">
        <w:t>on</w:t>
      </w:r>
      <w:r w:rsidR="00B9592E">
        <w:t>s</w:t>
      </w:r>
      <w:r w:rsidR="005D60B8" w:rsidRPr="005D60B8">
        <w:t xml:space="preserve"> </w:t>
      </w:r>
      <w:r w:rsidR="007C3459">
        <w:t>involved</w:t>
      </w:r>
      <w:r w:rsidR="005D60B8" w:rsidRPr="005D60B8">
        <w:t xml:space="preserve"> variants in the ATP binding cassette subfamily B member 7 (</w:t>
      </w:r>
      <w:r w:rsidR="005D60B8" w:rsidRPr="00017EBD">
        <w:rPr>
          <w:i/>
          <w:iCs/>
        </w:rPr>
        <w:t>ABCB7</w:t>
      </w:r>
      <w:r w:rsidR="002A4954">
        <w:t>)</w:t>
      </w:r>
      <w:r w:rsidR="000F505A">
        <w:t xml:space="preserve">, </w:t>
      </w:r>
      <w:r w:rsidR="002A4954">
        <w:t xml:space="preserve">with </w:t>
      </w:r>
      <w:r w:rsidR="005D60B8" w:rsidRPr="004D332A">
        <w:rPr>
          <w:i/>
          <w:iCs/>
        </w:rPr>
        <w:t>rs</w:t>
      </w:r>
      <w:r w:rsidR="00546974" w:rsidRPr="004D332A">
        <w:rPr>
          <w:i/>
          <w:iCs/>
        </w:rPr>
        <w:t>4409555</w:t>
      </w:r>
      <w:r w:rsidR="000F505A">
        <w:t xml:space="preserve"> (</w:t>
      </w:r>
      <w:r w:rsidR="005D60B8" w:rsidRPr="005D60B8">
        <w:t>p-value = 4.3 x 10</w:t>
      </w:r>
      <w:r w:rsidR="005D60B8" w:rsidRPr="005D60B8">
        <w:rPr>
          <w:vertAlign w:val="superscript"/>
        </w:rPr>
        <w:t>-13</w:t>
      </w:r>
      <w:r w:rsidR="005D60B8" w:rsidRPr="005D60B8">
        <w:t xml:space="preserve">), </w:t>
      </w:r>
      <w:r w:rsidR="005D60B8" w:rsidRPr="004D332A">
        <w:rPr>
          <w:i/>
          <w:iCs/>
        </w:rPr>
        <w:t>rs144080963</w:t>
      </w:r>
      <w:r w:rsidR="005D60B8" w:rsidRPr="005D60B8">
        <w:t xml:space="preserve"> (p-value = 2.2 x 10</w:t>
      </w:r>
      <w:r w:rsidR="005D60B8" w:rsidRPr="005D60B8">
        <w:rPr>
          <w:vertAlign w:val="superscript"/>
        </w:rPr>
        <w:t>-11</w:t>
      </w:r>
      <w:r w:rsidR="005D60B8" w:rsidRPr="005D60B8">
        <w:t xml:space="preserve">), and </w:t>
      </w:r>
      <w:r w:rsidR="005D60B8" w:rsidRPr="004D332A">
        <w:rPr>
          <w:i/>
          <w:iCs/>
        </w:rPr>
        <w:t>rs144752384</w:t>
      </w:r>
      <w:r w:rsidR="005D60B8" w:rsidRPr="005D60B8">
        <w:t xml:space="preserve"> (p-value = 1.4 x 10</w:t>
      </w:r>
      <w:r w:rsidR="005D60B8" w:rsidRPr="005D60B8">
        <w:rPr>
          <w:vertAlign w:val="superscript"/>
        </w:rPr>
        <w:t>-9</w:t>
      </w:r>
      <w:r w:rsidR="0035056D">
        <w:t>)</w:t>
      </w:r>
      <w:r w:rsidR="005D60B8" w:rsidRPr="005D60B8">
        <w:t xml:space="preserve"> </w:t>
      </w:r>
      <w:r w:rsidR="00371EE2">
        <w:t xml:space="preserve">interacting </w:t>
      </w:r>
      <w:r w:rsidR="005D60B8" w:rsidRPr="005D60B8">
        <w:t>with exposure</w:t>
      </w:r>
      <w:r w:rsidR="00371EE2">
        <w:t>s</w:t>
      </w:r>
      <w:r w:rsidR="005D60B8" w:rsidRPr="005D60B8">
        <w:t xml:space="preserve"> to toners, inks, </w:t>
      </w:r>
      <w:r w:rsidR="002A4954">
        <w:t xml:space="preserve">and </w:t>
      </w:r>
      <w:r w:rsidR="005D60B8" w:rsidRPr="005D60B8">
        <w:t xml:space="preserve">dyes. </w:t>
      </w:r>
      <w:r w:rsidR="005D60B8" w:rsidRPr="00923494">
        <w:t>ABCB7</w:t>
      </w:r>
      <w:r w:rsidR="005D60B8" w:rsidRPr="005D60B8">
        <w:t xml:space="preserve"> has been previously linked to the biological pathway of T2D</w:t>
      </w:r>
      <w:r w:rsidR="002A4954">
        <w:t>, and b</w:t>
      </w:r>
      <w:r w:rsidR="00546974">
        <w:t>y</w:t>
      </w:r>
      <w:r w:rsidR="0035056D">
        <w:t xml:space="preserve"> </w:t>
      </w:r>
      <w:r w:rsidR="00546974">
        <w:t xml:space="preserve">querying </w:t>
      </w:r>
      <w:r w:rsidR="005D60B8" w:rsidRPr="005D60B8">
        <w:t>public</w:t>
      </w:r>
      <w:r w:rsidR="000F505A">
        <w:t xml:space="preserve"> </w:t>
      </w:r>
      <w:r w:rsidR="005D60B8" w:rsidRPr="005D60B8">
        <w:t>gene</w:t>
      </w:r>
      <w:r w:rsidR="0035056D">
        <w:t>-</w:t>
      </w:r>
      <w:r w:rsidR="005D60B8" w:rsidRPr="005D60B8">
        <w:t>expression data</w:t>
      </w:r>
      <w:r w:rsidR="00EE59B6">
        <w:t xml:space="preserve"> we found that </w:t>
      </w:r>
      <w:r w:rsidR="00546974">
        <w:t>occupational</w:t>
      </w:r>
      <w:r w:rsidR="0035056D">
        <w:t xml:space="preserve"> exposure to</w:t>
      </w:r>
      <w:r w:rsidR="005D60B8" w:rsidRPr="005D60B8">
        <w:t xml:space="preserve"> in</w:t>
      </w:r>
      <w:r w:rsidR="0035056D">
        <w:t>k</w:t>
      </w:r>
      <w:r w:rsidR="005D60B8" w:rsidRPr="005D60B8">
        <w:t xml:space="preserve">jet printers was associated with changes in </w:t>
      </w:r>
      <w:r w:rsidR="005D60B8" w:rsidRPr="004D332A">
        <w:rPr>
          <w:i/>
          <w:iCs/>
        </w:rPr>
        <w:t>ABCB7</w:t>
      </w:r>
      <w:r w:rsidR="005D60B8" w:rsidRPr="005D60B8">
        <w:t xml:space="preserve"> expression</w:t>
      </w:r>
      <w:r w:rsidR="000F505A">
        <w:t xml:space="preserve">, </w:t>
      </w:r>
      <w:r w:rsidR="00CE01D8">
        <w:t>corroborat</w:t>
      </w:r>
      <w:r w:rsidR="000F505A">
        <w:t>ing</w:t>
      </w:r>
      <w:r w:rsidR="00CE01D8">
        <w:t xml:space="preserve"> </w:t>
      </w:r>
      <w:r w:rsidR="002A4954">
        <w:t xml:space="preserve">the </w:t>
      </w:r>
      <w:r w:rsidR="00CE01D8">
        <w:t xml:space="preserve">identified SNPs in </w:t>
      </w:r>
      <w:r w:rsidR="00CE01D8" w:rsidRPr="004D332A">
        <w:rPr>
          <w:i/>
          <w:iCs/>
        </w:rPr>
        <w:t>ABCB7</w:t>
      </w:r>
      <w:r w:rsidR="00CE01D8">
        <w:t xml:space="preserve"> gene as GxE candidates for </w:t>
      </w:r>
      <w:r w:rsidR="00546974">
        <w:t>T2D</w:t>
      </w:r>
      <w:r w:rsidR="00CE01D8">
        <w:t xml:space="preserve">. </w:t>
      </w:r>
    </w:p>
    <w:p w14:paraId="2D3D3A8F" w14:textId="38A2401D" w:rsidR="00AF1E34" w:rsidRDefault="00923494" w:rsidP="00F05DBA">
      <w:r>
        <w:t>In conclusion, the</w:t>
      </w:r>
      <w:r w:rsidR="006A69FD">
        <w:t xml:space="preserve"> </w:t>
      </w:r>
      <w:r w:rsidR="00AB304E">
        <w:t>VLA</w:t>
      </w:r>
      <w:r w:rsidR="006A69FD">
        <w:t xml:space="preserve">-catalog </w:t>
      </w:r>
      <w:r w:rsidR="00864BFE">
        <w:t>is a</w:t>
      </w:r>
      <w:r w:rsidR="00F05DBA">
        <w:t xml:space="preserve"> valuable</w:t>
      </w:r>
      <w:r w:rsidR="006A69FD">
        <w:t xml:space="preserve"> </w:t>
      </w:r>
      <w:r w:rsidR="00F05DBA">
        <w:t>re</w:t>
      </w:r>
      <w:r w:rsidR="006A69FD">
        <w:t xml:space="preserve">source for GxE </w:t>
      </w:r>
      <w:r>
        <w:t xml:space="preserve">studies </w:t>
      </w:r>
      <w:r w:rsidR="00864BFE">
        <w:t>to</w:t>
      </w:r>
      <w:r w:rsidR="006A69FD">
        <w:t xml:space="preserve"> prioritiz</w:t>
      </w:r>
      <w:r w:rsidR="00864BFE">
        <w:t>e</w:t>
      </w:r>
      <w:r w:rsidR="006A69FD">
        <w:t xml:space="preserve"> candidate SNPs</w:t>
      </w:r>
      <w:r w:rsidR="007C3459">
        <w:t xml:space="preserve">, </w:t>
      </w:r>
      <w:r w:rsidR="006A69FD">
        <w:t>reduce multiple testing</w:t>
      </w:r>
      <w:r w:rsidR="007C3459">
        <w:t>,</w:t>
      </w:r>
      <w:r w:rsidR="00F05DBA">
        <w:t xml:space="preserve"> and </w:t>
      </w:r>
      <w:r w:rsidR="006A69FD">
        <w:t>improve statistical power.</w:t>
      </w:r>
    </w:p>
    <w:sectPr w:rsidR="00AF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yN7AwMTM0MTIytjRW0lEKTi0uzszPAykwqgUADXsOpCwAAAA="/>
  </w:docVars>
  <w:rsids>
    <w:rsidRoot w:val="005D60B8"/>
    <w:rsid w:val="00017EBD"/>
    <w:rsid w:val="00034F40"/>
    <w:rsid w:val="00097BD4"/>
    <w:rsid w:val="000A0478"/>
    <w:rsid w:val="000D7375"/>
    <w:rsid w:val="000F505A"/>
    <w:rsid w:val="00137C70"/>
    <w:rsid w:val="001F1A99"/>
    <w:rsid w:val="002018B5"/>
    <w:rsid w:val="002035BB"/>
    <w:rsid w:val="00203892"/>
    <w:rsid w:val="00261E32"/>
    <w:rsid w:val="002A4954"/>
    <w:rsid w:val="00325F57"/>
    <w:rsid w:val="0035056D"/>
    <w:rsid w:val="00371EE2"/>
    <w:rsid w:val="00406615"/>
    <w:rsid w:val="00420AAC"/>
    <w:rsid w:val="004D332A"/>
    <w:rsid w:val="004E066A"/>
    <w:rsid w:val="00546974"/>
    <w:rsid w:val="005D60B8"/>
    <w:rsid w:val="00645D7E"/>
    <w:rsid w:val="006A2441"/>
    <w:rsid w:val="006A69FD"/>
    <w:rsid w:val="006B0C9D"/>
    <w:rsid w:val="006C4AD3"/>
    <w:rsid w:val="006F030C"/>
    <w:rsid w:val="006F2E8F"/>
    <w:rsid w:val="007C3459"/>
    <w:rsid w:val="0084127E"/>
    <w:rsid w:val="00864BFE"/>
    <w:rsid w:val="008953BA"/>
    <w:rsid w:val="00895C80"/>
    <w:rsid w:val="00923494"/>
    <w:rsid w:val="009327FE"/>
    <w:rsid w:val="00945A6A"/>
    <w:rsid w:val="00951512"/>
    <w:rsid w:val="00962834"/>
    <w:rsid w:val="00A80389"/>
    <w:rsid w:val="00A90D74"/>
    <w:rsid w:val="00AB304E"/>
    <w:rsid w:val="00AE52E8"/>
    <w:rsid w:val="00AF1E34"/>
    <w:rsid w:val="00B15CA3"/>
    <w:rsid w:val="00B91549"/>
    <w:rsid w:val="00B9592E"/>
    <w:rsid w:val="00BB6028"/>
    <w:rsid w:val="00C677FE"/>
    <w:rsid w:val="00CE01D8"/>
    <w:rsid w:val="00D56FAB"/>
    <w:rsid w:val="00D6175B"/>
    <w:rsid w:val="00D64996"/>
    <w:rsid w:val="00EE559D"/>
    <w:rsid w:val="00EE59B6"/>
    <w:rsid w:val="00F05DBA"/>
    <w:rsid w:val="00F4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9477"/>
  <w15:chartTrackingRefBased/>
  <w15:docId w15:val="{0D94A3C0-0250-1044-8BAA-EEDF2FF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99"/>
    <w:pPr>
      <w:spacing w:after="24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80389"/>
  </w:style>
  <w:style w:type="character" w:styleId="CommentReference">
    <w:name w:val="annotation reference"/>
    <w:basedOn w:val="DefaultParagraphFont"/>
    <w:uiPriority w:val="99"/>
    <w:semiHidden/>
    <w:unhideWhenUsed/>
    <w:rsid w:val="00923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4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Motsinger-Reif, Alison (NIH/NIEHS) [E]</dc:creator>
  <cp:keywords/>
  <dc:description/>
  <cp:lastModifiedBy>Tong, Xiaoran (NIH/NIEHS) [F]</cp:lastModifiedBy>
  <cp:revision>2</cp:revision>
  <dcterms:created xsi:type="dcterms:W3CDTF">2022-03-08T19:24:00Z</dcterms:created>
  <dcterms:modified xsi:type="dcterms:W3CDTF">2022-03-08T19:24:00Z</dcterms:modified>
</cp:coreProperties>
</file>