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7A9C" w14:textId="42088FBC" w:rsidR="00A304F0" w:rsidRDefault="00D86D98" w:rsidP="00D86D98">
      <w:pPr>
        <w:pStyle w:val="Title"/>
      </w:pPr>
      <w:r>
        <w:t>Supplement Material</w:t>
      </w:r>
      <w:r w:rsidR="00A304F0">
        <w:t>s</w:t>
      </w:r>
    </w:p>
    <w:p w14:paraId="1880B43E" w14:textId="39B48296" w:rsidR="008F58F4" w:rsidRDefault="008F58F4" w:rsidP="008F58F4">
      <w:pPr>
        <w:pStyle w:val="Heading1"/>
      </w:pPr>
      <w:r>
        <w:t>1.</w:t>
      </w:r>
      <w:r w:rsidR="00DB663D">
        <w:t xml:space="preserve"> </w:t>
      </w:r>
      <w:r>
        <w:t>Simulation</w:t>
      </w:r>
    </w:p>
    <w:p w14:paraId="564FABFA" w14:textId="4B51B45A" w:rsidR="00E830BB" w:rsidRDefault="00E830BB" w:rsidP="00E830BB">
      <w:r>
        <w:t>In this section we detail the information required to generate phenotypes of various distribution with or without the effect of variance loci. For each scenario, we start with a minimum sample size of N=16 (i.e., 2</w:t>
      </w:r>
      <w:r w:rsidRPr="00B76AE8">
        <w:rPr>
          <w:vertAlign w:val="superscript"/>
        </w:rPr>
        <w:t>4</w:t>
      </w:r>
      <w:r>
        <w:t>), doubling it until N=65,536 (i.e., 2</w:t>
      </w:r>
      <w:r w:rsidRPr="009D0D92">
        <w:rPr>
          <w:vertAlign w:val="superscript"/>
        </w:rPr>
        <w:t>16</w:t>
      </w:r>
      <w:r>
        <w:t>). For each scenario and each sample size, we repeat 20,000 times.</w:t>
      </w:r>
    </w:p>
    <w:p w14:paraId="49857B33" w14:textId="0C89485B" w:rsidR="00E830BB" w:rsidRDefault="00E830BB" w:rsidP="008F58F4">
      <w:pPr>
        <w:pStyle w:val="Heading2"/>
      </w:pPr>
      <w:r w:rsidRPr="008F58F4">
        <w:t xml:space="preserve">Acquire </w:t>
      </w:r>
      <w:r w:rsidR="00015969" w:rsidRPr="008F58F4">
        <w:t>Basic Material</w:t>
      </w:r>
      <w:r w:rsidR="00B778A0">
        <w:t>s</w:t>
      </w:r>
    </w:p>
    <w:p w14:paraId="5CE496C9" w14:textId="4C59F908" w:rsidR="00562706" w:rsidRPr="00562706" w:rsidRDefault="00562706" w:rsidP="00562706">
      <w:r>
        <w:t xml:space="preserve">In each repeat of the simulation, we first require the following </w:t>
      </w:r>
      <w:r w:rsidR="00F5084C">
        <w:t xml:space="preserve">basic </w:t>
      </w:r>
      <w:r>
        <w:t>materials</w:t>
      </w:r>
      <w:r w:rsidR="000919B9">
        <w:t>.</w:t>
      </w:r>
    </w:p>
    <w:p w14:paraId="3F8F2F17" w14:textId="27848005" w:rsidR="00015969" w:rsidRDefault="008F58F4" w:rsidP="008F58F4">
      <w:pPr>
        <w:pStyle w:val="Heading3"/>
      </w:pPr>
      <w:r>
        <w:t xml:space="preserve">vector of genotype, </w:t>
      </w:r>
      <m:oMath>
        <m:r>
          <m:rPr>
            <m:sty m:val="bi"/>
          </m:rPr>
          <w:rPr>
            <w:rFonts w:ascii="Cambria Math" w:hAnsi="Cambria Math"/>
          </w:rPr>
          <m:t>g</m:t>
        </m:r>
      </m:oMath>
    </w:p>
    <w:p w14:paraId="20D42427" w14:textId="1236134D" w:rsidR="00E830BB" w:rsidRDefault="00E830BB" w:rsidP="00E830BB">
      <w:r>
        <w:t>In each repeat, we randomly acquire a single variant</w:t>
      </w:r>
      <w:r w:rsidRPr="00433B45">
        <w:rPr>
          <w:bCs/>
        </w:rPr>
        <w:t xml:space="preserve"> </w:t>
      </w:r>
      <w:r>
        <w:t xml:space="preserve">from genome region 17q3 (chromosome 17, between base-pair 10,700,001 to 16,000,000) of the 1000 Genomes Project Phase 3, with an MAF no less than 0.01, and 1,807 unrelated samples (out of a total of 2,502 provided by Phase 3). </w:t>
      </w:r>
    </w:p>
    <w:p w14:paraId="057BB0BB" w14:textId="77777777" w:rsidR="00E830BB" w:rsidRDefault="00E830BB" w:rsidP="00E830BB">
      <w:r>
        <w:t>From those 1,807 allele dosages values in {0, 1, 2}, we sample with replacement, until the desired sample size N (i.e., 2</w:t>
      </w:r>
      <w:r w:rsidRPr="00DD1B6F">
        <w:rPr>
          <w:vertAlign w:val="superscript"/>
        </w:rPr>
        <w:t>4</w:t>
      </w:r>
      <w:r>
        <w:t>, 2</w:t>
      </w:r>
      <w:r w:rsidRPr="00DD1B6F">
        <w:rPr>
          <w:vertAlign w:val="superscript"/>
        </w:rPr>
        <w:t>5</w:t>
      </w:r>
      <w:r>
        <w:t xml:space="preserve"> … 2</w:t>
      </w:r>
      <w:r w:rsidRPr="00DD1B6F">
        <w:rPr>
          <w:vertAlign w:val="superscript"/>
        </w:rPr>
        <w:t>16</w:t>
      </w:r>
      <w:r>
        <w:t xml:space="preserve">) is reached, and save the dosage values as the vector of genotype </w:t>
      </w:r>
      <w:r w:rsidRPr="00D16ED5">
        <w:rPr>
          <w:b/>
          <w:bCs/>
        </w:rPr>
        <w:t>g</w:t>
      </w:r>
      <w:r>
        <w:t>. We do not center nor scale the genotype vector, but simply keep the dosage values as they are.</w:t>
      </w:r>
    </w:p>
    <w:p w14:paraId="7537B120" w14:textId="77777777" w:rsidR="00E830BB" w:rsidRDefault="00E830BB" w:rsidP="00E830BB">
      <w:r>
        <w:t xml:space="preserve">The acquisition of genotype vector </w:t>
      </w:r>
      <w:r w:rsidRPr="00083114">
        <w:rPr>
          <w:b/>
          <w:bCs/>
        </w:rPr>
        <w:t>g</w:t>
      </w:r>
      <w:r>
        <w:t xml:space="preserve"> is helped by a R-package in development called </w:t>
      </w:r>
      <w:r>
        <w:rPr>
          <w:b/>
          <w:bCs/>
        </w:rPr>
        <w:t>simgen</w:t>
      </w:r>
      <w:r w:rsidRPr="001E3169">
        <w:t xml:space="preserve">, located on </w:t>
      </w:r>
      <w:r w:rsidRPr="00CE7292">
        <w:t xml:space="preserve">GitHub repository </w:t>
      </w:r>
      <w:hyperlink r:id="rId5" w:history="1">
        <w:r w:rsidRPr="00CE7292">
          <w:rPr>
            <w:rStyle w:val="Hyperlink"/>
          </w:rPr>
          <w:t>https://github.com/xiaoran831213/simgen</w:t>
        </w:r>
      </w:hyperlink>
      <w:r w:rsidRPr="00CE7292">
        <w:t>. The usage of the package in the simula</w:t>
      </w:r>
      <w:r>
        <w:t xml:space="preserve">tion is detailed in supplementary material “simulation results, scripts, and materials.” </w:t>
      </w:r>
    </w:p>
    <w:p w14:paraId="7493057E" w14:textId="2F0C5230" w:rsidR="00E830BB" w:rsidRDefault="008F58F4" w:rsidP="000919B9">
      <w:pPr>
        <w:pStyle w:val="Heading3"/>
      </w:pPr>
      <w:r>
        <w:t xml:space="preserve">vector of environment, </w:t>
      </w:r>
      <m:oMath>
        <m:r>
          <m:rPr>
            <m:sty m:val="bi"/>
          </m:rPr>
          <w:rPr>
            <w:rFonts w:ascii="Cambria Math" w:hAnsi="Cambria Math"/>
          </w:rPr>
          <m:t>u</m:t>
        </m:r>
      </m:oMath>
    </w:p>
    <w:p w14:paraId="4746B021" w14:textId="77777777" w:rsidR="00E830BB" w:rsidRDefault="00E830BB" w:rsidP="00E830BB">
      <w:r>
        <w:t xml:space="preserve">In each repeat, we draw a vector of environmental exposures from standard normal distribution, until the desired sample size N is reached, and save the values as the vector of environment </w:t>
      </w:r>
      <w:r w:rsidRPr="00BE08CD">
        <w:rPr>
          <w:b/>
          <w:bCs/>
        </w:rPr>
        <w:t>u</w:t>
      </w:r>
      <w:r>
        <w:t>, that is,</w:t>
      </w:r>
    </w:p>
    <w:p w14:paraId="7DDFB77A" w14:textId="77777777" w:rsidR="00E830BB" w:rsidRPr="00E46DD6" w:rsidRDefault="007F3C26" w:rsidP="00E830BB">
      <w:pPr>
        <w:tabs>
          <w:tab w:val="center" w:pos="4680"/>
          <w:tab w:val="right" w:pos="9360"/>
        </w:tabs>
        <w:jc w:val="center"/>
        <w:rPr>
          <w:bCs/>
        </w:rPr>
      </w:pPr>
      <m:oMathPara>
        <m:oMath>
          <m:sSub>
            <m:sSubPr>
              <m:ctrlPr>
                <w:rPr>
                  <w:rFonts w:ascii="Cambria Math" w:hAnsi="Cambria Math"/>
                  <w:bCs/>
                  <w:i/>
                </w:rPr>
              </m:ctrlPr>
            </m:sSubPr>
            <m:e>
              <m:r>
                <w:rPr>
                  <w:rFonts w:ascii="Cambria Math" w:hAnsi="Cambria Math"/>
                </w:rPr>
                <m:t>u</m:t>
              </m:r>
            </m:e>
            <m:sub>
              <m:r>
                <w:rPr>
                  <w:rFonts w:ascii="Cambria Math" w:hAnsi="Cambria Math"/>
                </w:rPr>
                <m:t>i</m:t>
              </m:r>
            </m:sub>
          </m:sSub>
          <m:box>
            <m:boxPr>
              <m:opEmu m:val="1"/>
              <m:ctrlPr>
                <w:rPr>
                  <w:rFonts w:ascii="Cambria Math" w:hAnsi="Cambria Math"/>
                  <w:bCs/>
                  <w:i/>
                </w:rPr>
              </m:ctrlPr>
            </m:boxPr>
            <m:e>
              <m:limUpp>
                <m:limUppPr>
                  <m:ctrlPr>
                    <w:rPr>
                      <w:rFonts w:ascii="Cambria Math" w:hAnsi="Cambria Math"/>
                      <w:bCs/>
                      <w:i/>
                    </w:rPr>
                  </m:ctrlPr>
                </m:limUppPr>
                <m:e>
                  <m:r>
                    <w:rPr>
                      <w:rFonts w:ascii="Cambria Math" w:hAnsi="Cambria Math"/>
                    </w:rPr>
                    <m:t>~</m:t>
                  </m:r>
                </m:e>
                <m:lim>
                  <m:r>
                    <m:rPr>
                      <m:nor/>
                    </m:rPr>
                    <w:rPr>
                      <w:rFonts w:ascii="Cambria Math" w:hAnsi="Cambria Math"/>
                      <w:bCs/>
                    </w:rPr>
                    <m:t>i.i.d</m:t>
                  </m:r>
                </m:lim>
              </m:limUpp>
            </m:e>
          </m:box>
          <m:r>
            <w:rPr>
              <w:rFonts w:ascii="Cambria Math" w:hAnsi="Cambria Math"/>
            </w:rPr>
            <m:t>N</m:t>
          </m:r>
          <m:d>
            <m:dPr>
              <m:ctrlPr>
                <w:rPr>
                  <w:rFonts w:ascii="Cambria Math" w:hAnsi="Cambria Math"/>
                  <w:bCs/>
                  <w:i/>
                </w:rPr>
              </m:ctrlPr>
            </m:dPr>
            <m:e>
              <m:r>
                <w:rPr>
                  <w:rFonts w:ascii="Cambria Math" w:hAnsi="Cambria Math"/>
                </w:rPr>
                <m:t>0,1</m:t>
              </m:r>
            </m:e>
          </m:d>
          <m:r>
            <w:rPr>
              <w:rFonts w:ascii="Cambria Math" w:hAnsi="Cambria Math"/>
            </w:rPr>
            <m:t>,  i=(1…N)</m:t>
          </m:r>
        </m:oMath>
      </m:oMathPara>
    </w:p>
    <w:p w14:paraId="0A8ECD31" w14:textId="3899A743" w:rsidR="00E830BB" w:rsidRDefault="00E830BB" w:rsidP="000919B9">
      <w:pPr>
        <w:pStyle w:val="Heading3"/>
      </w:pPr>
      <w:r>
        <w:t xml:space="preserve">vector </w:t>
      </w:r>
      <w:r w:rsidR="008F58F4">
        <w:t xml:space="preserve">of covariate, </w:t>
      </w:r>
      <m:oMath>
        <m:r>
          <m:rPr>
            <m:sty m:val="bi"/>
          </m:rPr>
          <w:rPr>
            <w:rFonts w:ascii="Cambria Math" w:hAnsi="Cambria Math"/>
          </w:rPr>
          <m:t>x</m:t>
        </m:r>
      </m:oMath>
    </w:p>
    <w:p w14:paraId="23628CAC" w14:textId="77777777" w:rsidR="00E830BB" w:rsidRDefault="00E830BB" w:rsidP="00E830BB">
      <w:r>
        <w:t xml:space="preserve">In each repeat, we draw a vector of covariate from standard normal distribution until the desired sample size N is reached, and save the values as the vector of covariate </w:t>
      </w:r>
      <w:r>
        <w:rPr>
          <w:b/>
          <w:bCs/>
        </w:rPr>
        <w:t>x</w:t>
      </w:r>
      <w:r w:rsidRPr="00677558">
        <w:t>, that is</w:t>
      </w:r>
    </w:p>
    <w:p w14:paraId="16BB5AFC" w14:textId="77777777" w:rsidR="00E830BB" w:rsidRPr="00E46DD6" w:rsidRDefault="007F3C26" w:rsidP="00E830BB">
      <w:pPr>
        <w:tabs>
          <w:tab w:val="center" w:pos="4680"/>
          <w:tab w:val="right" w:pos="9360"/>
        </w:tabs>
        <w:jc w:val="center"/>
        <w:rPr>
          <w:bCs/>
        </w:rPr>
      </w:pPr>
      <m:oMathPara>
        <m:oMath>
          <m:sSub>
            <m:sSubPr>
              <m:ctrlPr>
                <w:rPr>
                  <w:rFonts w:ascii="Cambria Math" w:hAnsi="Cambria Math"/>
                  <w:bCs/>
                  <w:i/>
                </w:rPr>
              </m:ctrlPr>
            </m:sSubPr>
            <m:e>
              <m:r>
                <w:rPr>
                  <w:rFonts w:ascii="Cambria Math" w:hAnsi="Cambria Math"/>
                </w:rPr>
                <m:t>x</m:t>
              </m:r>
            </m:e>
            <m:sub>
              <m:r>
                <w:rPr>
                  <w:rFonts w:ascii="Cambria Math" w:hAnsi="Cambria Math"/>
                </w:rPr>
                <m:t>i</m:t>
              </m:r>
            </m:sub>
          </m:sSub>
          <m:box>
            <m:boxPr>
              <m:opEmu m:val="1"/>
              <m:ctrlPr>
                <w:rPr>
                  <w:rFonts w:ascii="Cambria Math" w:hAnsi="Cambria Math"/>
                  <w:bCs/>
                  <w:i/>
                </w:rPr>
              </m:ctrlPr>
            </m:boxPr>
            <m:e>
              <m:limUpp>
                <m:limUppPr>
                  <m:ctrlPr>
                    <w:rPr>
                      <w:rFonts w:ascii="Cambria Math" w:hAnsi="Cambria Math"/>
                      <w:bCs/>
                      <w:i/>
                    </w:rPr>
                  </m:ctrlPr>
                </m:limUppPr>
                <m:e>
                  <m:r>
                    <w:rPr>
                      <w:rFonts w:ascii="Cambria Math" w:hAnsi="Cambria Math"/>
                    </w:rPr>
                    <m:t>~</m:t>
                  </m:r>
                </m:e>
                <m:lim>
                  <m:r>
                    <m:rPr>
                      <m:nor/>
                    </m:rPr>
                    <w:rPr>
                      <w:rFonts w:ascii="Cambria Math" w:hAnsi="Cambria Math"/>
                      <w:bCs/>
                    </w:rPr>
                    <m:t>i.i.d</m:t>
                  </m:r>
                </m:lim>
              </m:limUpp>
            </m:e>
          </m:box>
          <m:r>
            <w:rPr>
              <w:rFonts w:ascii="Cambria Math" w:hAnsi="Cambria Math"/>
            </w:rPr>
            <m:t>N</m:t>
          </m:r>
          <m:d>
            <m:dPr>
              <m:ctrlPr>
                <w:rPr>
                  <w:rFonts w:ascii="Cambria Math" w:hAnsi="Cambria Math"/>
                  <w:bCs/>
                  <w:i/>
                </w:rPr>
              </m:ctrlPr>
            </m:dPr>
            <m:e>
              <m:r>
                <w:rPr>
                  <w:rFonts w:ascii="Cambria Math" w:hAnsi="Cambria Math"/>
                </w:rPr>
                <m:t>0,1</m:t>
              </m:r>
            </m:e>
          </m:d>
          <m:r>
            <w:rPr>
              <w:rFonts w:ascii="Cambria Math" w:hAnsi="Cambria Math"/>
            </w:rPr>
            <m:t>,  i=(1…N)</m:t>
          </m:r>
        </m:oMath>
      </m:oMathPara>
    </w:p>
    <w:p w14:paraId="2C9E2760" w14:textId="6AFE42CC" w:rsidR="00E830BB" w:rsidRDefault="00E830BB" w:rsidP="000919B9">
      <w:pPr>
        <w:pStyle w:val="Heading3"/>
      </w:pPr>
      <w:r>
        <w:t>vector of GxE interaction</w:t>
      </w:r>
      <w:r w:rsidR="000919B9">
        <w:t xml:space="preserve">, </w:t>
      </w:r>
      <m:oMath>
        <m:r>
          <m:rPr>
            <m:sty m:val="bi"/>
          </m:rPr>
          <w:rPr>
            <w:rFonts w:ascii="Cambria Math" w:hAnsi="Cambria Math"/>
          </w:rPr>
          <m:t>ug</m:t>
        </m:r>
      </m:oMath>
    </w:p>
    <w:p w14:paraId="4A595FB2" w14:textId="77777777" w:rsidR="00E830BB" w:rsidRDefault="00E830BB" w:rsidP="00E830BB">
      <w:r>
        <w:t xml:space="preserve">In each repeat, after acquiring the vector of genotype </w:t>
      </w:r>
      <w:r w:rsidRPr="00AC582A">
        <w:rPr>
          <w:b/>
          <w:bCs/>
        </w:rPr>
        <w:t>g</w:t>
      </w:r>
      <w:r>
        <w:t xml:space="preserve"> and environment </w:t>
      </w:r>
      <w:r w:rsidRPr="00AC582A">
        <w:rPr>
          <w:b/>
          <w:bCs/>
        </w:rPr>
        <w:t>u</w:t>
      </w:r>
      <w:r>
        <w:t xml:space="preserve"> with sample size N, we acquire the element-wise product between two, </w:t>
      </w:r>
      <w:r w:rsidRPr="004C4BBE">
        <w:rPr>
          <w:b/>
          <w:bCs/>
        </w:rPr>
        <w:t>ug</w:t>
      </w:r>
      <w:r>
        <w:t>, as the vector of gene-by-environment interaction, that is,</w:t>
      </w:r>
    </w:p>
    <w:p w14:paraId="61B916FD" w14:textId="77777777" w:rsidR="00E830BB" w:rsidRPr="00E46DD6" w:rsidRDefault="007F3C26" w:rsidP="00E830BB">
      <w:pPr>
        <w:tabs>
          <w:tab w:val="center" w:pos="4680"/>
          <w:tab w:val="right" w:pos="9360"/>
        </w:tabs>
        <w:jc w:val="center"/>
        <w:rPr>
          <w:bCs/>
        </w:rPr>
      </w:pPr>
      <m:oMathPara>
        <m:oMath>
          <m:sSub>
            <m:sSubPr>
              <m:ctrlPr>
                <w:rPr>
                  <w:rFonts w:ascii="Cambria Math" w:hAnsi="Cambria Math"/>
                  <w:bCs/>
                  <w:i/>
                </w:rPr>
              </m:ctrlPr>
            </m:sSubPr>
            <m:e>
              <m:r>
                <w:rPr>
                  <w:rFonts w:ascii="Cambria Math" w:hAnsi="Cambria Math"/>
                </w:rPr>
                <m:t>(ug)</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u</m:t>
              </m:r>
            </m:e>
            <m:sub>
              <m:r>
                <w:rPr>
                  <w:rFonts w:ascii="Cambria Math" w:hAnsi="Cambria Math"/>
                </w:rPr>
                <m:t>i</m:t>
              </m:r>
            </m:sub>
          </m:sSub>
          <m:sSub>
            <m:sSubPr>
              <m:ctrlPr>
                <w:rPr>
                  <w:rFonts w:ascii="Cambria Math" w:hAnsi="Cambria Math"/>
                  <w:bCs/>
                  <w:i/>
                </w:rPr>
              </m:ctrlPr>
            </m:sSubPr>
            <m:e>
              <m:r>
                <w:rPr>
                  <w:rFonts w:ascii="Cambria Math" w:hAnsi="Cambria Math"/>
                </w:rPr>
                <m:t>g</m:t>
              </m:r>
            </m:e>
            <m:sub>
              <m:r>
                <w:rPr>
                  <w:rFonts w:ascii="Cambria Math" w:hAnsi="Cambria Math"/>
                </w:rPr>
                <m:t>i</m:t>
              </m:r>
            </m:sub>
          </m:sSub>
          <m:r>
            <w:rPr>
              <w:rFonts w:ascii="Cambria Math" w:hAnsi="Cambria Math"/>
            </w:rPr>
            <m:t>,  i=(1…N)</m:t>
          </m:r>
        </m:oMath>
      </m:oMathPara>
    </w:p>
    <w:p w14:paraId="14B3D442" w14:textId="307AEBBD" w:rsidR="00E830BB" w:rsidRDefault="00994789" w:rsidP="00E830BB">
      <w:pPr>
        <w:pStyle w:val="Heading2"/>
      </w:pPr>
      <w:r>
        <w:t>Scenarios involving</w:t>
      </w:r>
      <w:r w:rsidR="0007247D">
        <w:t xml:space="preserve"> </w:t>
      </w:r>
      <w:r w:rsidR="00E830BB">
        <w:t>Gaussian phenotype</w:t>
      </w:r>
    </w:p>
    <w:p w14:paraId="51E2B47A" w14:textId="77777777" w:rsidR="00E830BB" w:rsidRDefault="00E830BB" w:rsidP="00E830BB">
      <w:r>
        <w:t xml:space="preserve">In each repeat, given the vector of allele dosage genotype </w:t>
      </w:r>
      <w:r w:rsidRPr="00A12768">
        <w:rPr>
          <w:b/>
          <w:bCs/>
        </w:rPr>
        <w:t>g</w:t>
      </w:r>
      <w:r>
        <w:t xml:space="preserve">, the vector of environment </w:t>
      </w:r>
      <w:r w:rsidRPr="00A12768">
        <w:rPr>
          <w:b/>
          <w:bCs/>
        </w:rPr>
        <w:t>u</w:t>
      </w:r>
      <w:r>
        <w:t xml:space="preserve">, the vector of covariate </w:t>
      </w:r>
      <w:r w:rsidRPr="00A12768">
        <w:rPr>
          <w:b/>
          <w:bCs/>
        </w:rPr>
        <w:t>x</w:t>
      </w:r>
      <w:r>
        <w:t xml:space="preserve">, and the vector of we GxE interaction </w:t>
      </w:r>
      <w:r w:rsidRPr="004C4BBE">
        <w:rPr>
          <w:b/>
          <w:bCs/>
        </w:rPr>
        <w:t>ug</w:t>
      </w:r>
      <w:r>
        <w:t xml:space="preserve">, we generate a Gaussian phenotype in two ways – either additively or multiplicatively, where the former, under the right scenarios, will make the genotype </w:t>
      </w:r>
      <w:r w:rsidRPr="001922FC">
        <w:rPr>
          <w:b/>
          <w:bCs/>
        </w:rPr>
        <w:t>g</w:t>
      </w:r>
      <w:r>
        <w:t xml:space="preserve"> into an additive variance loci, and the latter makes </w:t>
      </w:r>
      <w:r w:rsidRPr="001922FC">
        <w:rPr>
          <w:b/>
          <w:bCs/>
        </w:rPr>
        <w:t>g</w:t>
      </w:r>
      <w:r>
        <w:t xml:space="preserve"> a multiplicative variance loci.</w:t>
      </w:r>
    </w:p>
    <w:p w14:paraId="0132979F" w14:textId="77777777" w:rsidR="00E830BB" w:rsidRDefault="00E830BB" w:rsidP="00E830BB">
      <w:pPr>
        <w:pStyle w:val="Heading3"/>
      </w:pPr>
      <w:r>
        <w:lastRenderedPageBreak/>
        <w:t>Additive Gaussian Phenotype</w:t>
      </w:r>
    </w:p>
    <w:p w14:paraId="0CEF6670" w14:textId="77777777" w:rsidR="00E830BB" w:rsidRDefault="00E830BB" w:rsidP="00E830BB">
      <w:r>
        <w:t>For each of the N individuals, we generate a Gaussian phenotype additively, based on the additive GxE model in equation (1)</w:t>
      </w:r>
    </w:p>
    <w:p w14:paraId="57398897" w14:textId="77777777" w:rsidR="00E830BB" w:rsidRPr="001E2C9D" w:rsidRDefault="007F3C26" w:rsidP="00E830BB">
      <w:pPr>
        <w:rPr>
          <w:bCs/>
        </w:rPr>
      </w:pPr>
      <m:oMathPara>
        <m:oMath>
          <m:sSub>
            <m:sSubPr>
              <m:ctrlPr>
                <w:rPr>
                  <w:rFonts w:ascii="Cambria Math" w:hAnsi="Cambria Math"/>
                  <w:i/>
                </w:rPr>
              </m:ctrlPr>
            </m:sSubPr>
            <m:e>
              <m:r>
                <w:rPr>
                  <w:rFonts w:ascii="Cambria Math" w:hAnsi="Cambria Math"/>
                </w:rPr>
                <m:t>y</m:t>
              </m:r>
              <m:ctrlPr>
                <w:rPr>
                  <w:rFonts w:ascii="Cambria Math" w:hAnsi="Cambria Math"/>
                  <w:bCs/>
                  <w:i/>
                </w:rPr>
              </m:ctrlP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+a</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+b</m:t>
          </m:r>
          <m:sSub>
            <m:sSubPr>
              <m:ctrlPr>
                <w:rPr>
                  <w:rFonts w:ascii="Cambria Math" w:hAnsi="Cambria Math"/>
                  <w:bCs/>
                  <w:i/>
                </w:rPr>
              </m:ctrlPr>
            </m:sSubPr>
            <m:e>
              <m:d>
                <m:dPr>
                  <m:ctrlPr>
                    <w:rPr>
                      <w:rFonts w:ascii="Cambria Math" w:hAnsi="Cambria Math"/>
                      <w:bCs/>
                      <w:i/>
                    </w:rPr>
                  </m:ctrlPr>
                </m:dPr>
                <m:e>
                  <m:r>
                    <w:rPr>
                      <w:rFonts w:ascii="Cambria Math" w:hAnsi="Cambria Math"/>
                    </w:rPr>
                    <m:t>ug</m:t>
                  </m:r>
                </m:e>
              </m:d>
            </m:e>
            <m:sub>
              <m:r>
                <w:rPr>
                  <w:rFonts w:ascii="Cambria Math" w:hAnsi="Cambria Math"/>
                </w:rPr>
                <m:t>i</m:t>
              </m:r>
            </m:sub>
          </m:sSub>
          <m:r>
            <w:rPr>
              <w:rFonts w:ascii="Cambria Math" w:hAnsi="Cambria Math"/>
            </w:rPr>
            <m:t>+c</m:t>
          </m:r>
          <m:sSub>
            <m:sSubPr>
              <m:ctrlPr>
                <w:rPr>
                  <w:rFonts w:ascii="Cambria Math" w:hAnsi="Cambria Math"/>
                  <w:i/>
                </w:rPr>
              </m:ctrlPr>
            </m:sSubPr>
            <m:e>
              <m:r>
                <w:rPr>
                  <w:rFonts w:ascii="Cambria Math" w:hAnsi="Cambria Math"/>
                </w:rPr>
                <m:t>u</m:t>
              </m:r>
              <m:ctrlPr>
                <w:rPr>
                  <w:rFonts w:ascii="Cambria Math" w:hAnsi="Cambria Math"/>
                  <w:bCs/>
                  <w:i/>
                </w:rPr>
              </m:ctrlPr>
            </m:e>
            <m:sub>
              <m:r>
                <w:rPr>
                  <w:rFonts w:ascii="Cambria Math" w:hAnsi="Cambria Math"/>
                </w:rPr>
                <m:t>i</m:t>
              </m:r>
            </m:sub>
          </m:sSub>
          <m:r>
            <w:rPr>
              <w:rFonts w:ascii="Cambria Math" w:hAnsi="Cambria Math"/>
            </w:rPr>
            <m:t>+d</m:t>
          </m:r>
          <m:sSub>
            <m:sSubPr>
              <m:ctrlPr>
                <w:rPr>
                  <w:rFonts w:ascii="Cambria Math" w:hAnsi="Cambria Math"/>
                  <w:i/>
                </w:rPr>
              </m:ctrlPr>
            </m:sSubPr>
            <m:e>
              <m:r>
                <w:rPr>
                  <w:rFonts w:ascii="Cambria Math" w:hAnsi="Cambria Math"/>
                </w:rPr>
                <m:t>x</m:t>
              </m:r>
              <m:ctrlPr>
                <w:rPr>
                  <w:rFonts w:ascii="Cambria Math" w:hAnsi="Cambria Math"/>
                  <w:bCs/>
                  <w:i/>
                </w:rPr>
              </m:ctrlPr>
            </m:e>
            <m:sub>
              <m:r>
                <w:rPr>
                  <w:rFonts w:ascii="Cambria Math" w:hAnsi="Cambria Math"/>
                </w:rPr>
                <m:t>i</m:t>
              </m:r>
            </m:sub>
          </m:sSub>
          <m:r>
            <w:rPr>
              <w:rFonts w:ascii="Cambria Math" w:hAnsi="Cambria Math"/>
            </w:rPr>
            <m:t>+</m:t>
          </m:r>
          <m:r>
            <m:rPr>
              <m:sty m:val="bi"/>
            </m:rP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m:t>
          </m:r>
          <m:sSub>
            <m:sSubPr>
              <m:ctrlPr>
                <w:rPr>
                  <w:rFonts w:ascii="Cambria Math" w:hAnsi="Cambria Math"/>
                  <w:i/>
                  <w:iCs/>
                </w:rPr>
              </m:ctrlPr>
            </m:sSubPr>
            <m:e>
              <m:r>
                <w:rPr>
                  <w:rFonts w:ascii="Cambria Math" w:hAnsi="Cambria Math"/>
                </w:rPr>
                <m:t>e</m:t>
              </m:r>
              <m:ctrlPr>
                <w:rPr>
                  <w:rFonts w:ascii="Cambria Math" w:hAnsi="Cambria Math"/>
                </w:rPr>
              </m:ctrlPr>
            </m:e>
            <m:sub>
              <m:r>
                <w:rPr>
                  <w:rFonts w:ascii="Cambria Math" w:hAnsi="Cambria Math"/>
                </w:rPr>
                <m:t>i</m:t>
              </m:r>
            </m:sub>
          </m:sSub>
          <m:limUpp>
            <m:limUppPr>
              <m:ctrlPr>
                <w:rPr>
                  <w:rFonts w:ascii="Cambria Math" w:hAnsi="Cambria Math"/>
                  <w:bCs/>
                  <w:i/>
                </w:rPr>
              </m:ctrlPr>
            </m:limUppPr>
            <m:e>
              <m:r>
                <w:rPr>
                  <w:rFonts w:ascii="Cambria Math" w:hAnsi="Cambria Math"/>
                </w:rPr>
                <m:t>~</m:t>
              </m:r>
            </m:e>
            <m:lim>
              <m:r>
                <m:rPr>
                  <m:nor/>
                </m:rPr>
                <w:rPr>
                  <w:rFonts w:ascii="Cambria Math" w:hAnsi="Cambria Math"/>
                  <w:bCs/>
                </w:rPr>
                <m:t>i.i.d</m:t>
              </m:r>
            </m:lim>
          </m:limUpp>
          <m:r>
            <w:rPr>
              <w:rFonts w:ascii="Cambria Math" w:hAnsi="Cambria Math"/>
            </w:rPr>
            <m:t>N</m:t>
          </m:r>
          <m:d>
            <m:dPr>
              <m:ctrlPr>
                <w:rPr>
                  <w:rFonts w:ascii="Cambria Math" w:hAnsi="Cambria Math"/>
                  <w:bCs/>
                </w:rPr>
              </m:ctrlPr>
            </m:dPr>
            <m:e>
              <m:r>
                <m:rPr>
                  <m:sty m:val="p"/>
                </m:rPr>
                <w:rPr>
                  <w:rFonts w:ascii="Cambria Math" w:hAnsi="Cambria Math"/>
                </w:rPr>
                <m:t>0,</m:t>
              </m:r>
              <m:sSub>
                <m:sSubPr>
                  <m:ctrlPr>
                    <w:rPr>
                      <w:rFonts w:ascii="Cambria Math" w:hAnsi="Cambria Math"/>
                      <w:bCs/>
                    </w:rPr>
                  </m:ctrlPr>
                </m:sSubPr>
                <m:e>
                  <m:r>
                    <w:rPr>
                      <w:rFonts w:ascii="Cambria Math" w:hAnsi="Cambria Math"/>
                    </w:rPr>
                    <m:t>v</m:t>
                  </m:r>
                </m:e>
                <m:sub>
                  <m:r>
                    <w:rPr>
                      <w:rFonts w:ascii="Cambria Math" w:hAnsi="Cambria Math"/>
                    </w:rPr>
                    <m:t>e</m:t>
                  </m:r>
                </m:sub>
              </m:sSub>
            </m:e>
          </m:d>
          <m:r>
            <w:rPr>
              <w:rFonts w:ascii="Cambria Math" w:hAnsi="Cambria Math"/>
            </w:rPr>
            <m:t>,  i=1…N</m:t>
          </m:r>
          <m:r>
            <m:rPr>
              <m:sty m:val="p"/>
            </m:rPr>
            <w:rPr>
              <w:rFonts w:ascii="Cambria Math" w:hAnsi="Cambria Math"/>
            </w:rPr>
            <w:br/>
          </m:r>
        </m:oMath>
        <m:oMath>
          <m:r>
            <w:rPr>
              <w:rFonts w:ascii="Cambria Math" w:hAnsi="Cambria Math"/>
            </w:rPr>
            <m:t>a~N</m:t>
          </m:r>
          <m:d>
            <m:dPr>
              <m:ctrlPr>
                <w:rPr>
                  <w:rFonts w:ascii="Cambria Math" w:hAnsi="Cambria Math"/>
                  <w:bCs/>
                </w:rPr>
              </m:ctrlPr>
            </m:dPr>
            <m:e>
              <m:r>
                <m:rPr>
                  <m:sty m:val="p"/>
                </m:rPr>
                <w:rPr>
                  <w:rFonts w:ascii="Cambria Math" w:hAnsi="Cambria Math"/>
                </w:rPr>
                <m:t>0,</m:t>
              </m:r>
              <m:sSub>
                <m:sSubPr>
                  <m:ctrlPr>
                    <w:rPr>
                      <w:rFonts w:ascii="Cambria Math" w:hAnsi="Cambria Math"/>
                      <w:bCs/>
                    </w:rPr>
                  </m:ctrlPr>
                </m:sSubPr>
                <m:e>
                  <m:r>
                    <w:rPr>
                      <w:rFonts w:ascii="Cambria Math" w:hAnsi="Cambria Math"/>
                    </w:rPr>
                    <m:t>v</m:t>
                  </m:r>
                </m:e>
                <m:sub>
                  <m:r>
                    <w:rPr>
                      <w:rFonts w:ascii="Cambria Math" w:hAnsi="Cambria Math"/>
                    </w:rPr>
                    <m:t>a</m:t>
                  </m:r>
                </m:sub>
              </m:sSub>
            </m:e>
          </m:d>
          <m:r>
            <w:rPr>
              <w:rFonts w:ascii="Cambria Math" w:hAnsi="Cambria Math"/>
            </w:rPr>
            <m:t>,  b~N</m:t>
          </m:r>
          <m:d>
            <m:dPr>
              <m:ctrlPr>
                <w:rPr>
                  <w:rFonts w:ascii="Cambria Math" w:hAnsi="Cambria Math"/>
                  <w:bCs/>
                </w:rPr>
              </m:ctrlPr>
            </m:dPr>
            <m:e>
              <m:r>
                <m:rPr>
                  <m:sty m:val="p"/>
                </m:rPr>
                <w:rPr>
                  <w:rFonts w:ascii="Cambria Math" w:hAnsi="Cambria Math"/>
                </w:rPr>
                <m:t>0,</m:t>
              </m:r>
              <m:sSub>
                <m:sSubPr>
                  <m:ctrlPr>
                    <w:rPr>
                      <w:rFonts w:ascii="Cambria Math" w:hAnsi="Cambria Math"/>
                      <w:bCs/>
                    </w:rPr>
                  </m:ctrlPr>
                </m:sSubPr>
                <m:e>
                  <m:r>
                    <w:rPr>
                      <w:rFonts w:ascii="Cambria Math" w:hAnsi="Cambria Math"/>
                    </w:rPr>
                    <m:t>v</m:t>
                  </m:r>
                </m:e>
                <m:sub>
                  <m:r>
                    <w:rPr>
                      <w:rFonts w:ascii="Cambria Math" w:hAnsi="Cambria Math"/>
                    </w:rPr>
                    <m:t>b</m:t>
                  </m:r>
                </m:sub>
              </m:sSub>
            </m:e>
          </m:d>
          <m:r>
            <m:rPr>
              <m:sty m:val="p"/>
            </m:rPr>
            <w:rPr>
              <w:rFonts w:ascii="Cambria Math" w:hAnsi="Cambria Math"/>
            </w:rPr>
            <m:t xml:space="preserve">,  </m:t>
          </m:r>
          <m:r>
            <w:rPr>
              <w:rFonts w:ascii="Cambria Math" w:hAnsi="Cambria Math"/>
            </w:rPr>
            <m:t>c~N</m:t>
          </m:r>
          <m:d>
            <m:dPr>
              <m:ctrlPr>
                <w:rPr>
                  <w:rFonts w:ascii="Cambria Math" w:hAnsi="Cambria Math"/>
                  <w:bCs/>
                </w:rPr>
              </m:ctrlPr>
            </m:dPr>
            <m:e>
              <m:r>
                <m:rPr>
                  <m:sty m:val="p"/>
                </m:rPr>
                <w:rPr>
                  <w:rFonts w:ascii="Cambria Math" w:hAnsi="Cambria Math"/>
                </w:rPr>
                <m:t>0,</m:t>
              </m:r>
              <m:sSub>
                <m:sSubPr>
                  <m:ctrlPr>
                    <w:rPr>
                      <w:rFonts w:ascii="Cambria Math" w:hAnsi="Cambria Math"/>
                      <w:bCs/>
                    </w:rPr>
                  </m:ctrlPr>
                </m:sSubPr>
                <m:e>
                  <m:r>
                    <w:rPr>
                      <w:rFonts w:ascii="Cambria Math" w:hAnsi="Cambria Math"/>
                    </w:rPr>
                    <m:t>v</m:t>
                  </m:r>
                </m:e>
                <m:sub>
                  <m:r>
                    <w:rPr>
                      <w:rFonts w:ascii="Cambria Math" w:hAnsi="Cambria Math"/>
                    </w:rPr>
                    <m:t>c</m:t>
                  </m:r>
                </m:sub>
              </m:sSub>
            </m:e>
          </m:d>
          <m:r>
            <m:rPr>
              <m:sty m:val="p"/>
            </m:rPr>
            <w:rPr>
              <w:rFonts w:ascii="Cambria Math" w:hAnsi="Cambria Math"/>
            </w:rPr>
            <m:t>,  d</m:t>
          </m:r>
          <m:r>
            <w:rPr>
              <w:rFonts w:ascii="Cambria Math" w:hAnsi="Cambria Math"/>
            </w:rPr>
            <m:t>~N</m:t>
          </m:r>
          <m:d>
            <m:dPr>
              <m:ctrlPr>
                <w:rPr>
                  <w:rFonts w:ascii="Cambria Math" w:hAnsi="Cambria Math"/>
                  <w:bCs/>
                </w:rPr>
              </m:ctrlPr>
            </m:dPr>
            <m:e>
              <m:r>
                <m:rPr>
                  <m:sty m:val="p"/>
                </m:rPr>
                <w:rPr>
                  <w:rFonts w:ascii="Cambria Math" w:hAnsi="Cambria Math"/>
                </w:rPr>
                <m:t>0,</m:t>
              </m:r>
              <m:sSub>
                <m:sSubPr>
                  <m:ctrlPr>
                    <w:rPr>
                      <w:rFonts w:ascii="Cambria Math" w:hAnsi="Cambria Math"/>
                      <w:bCs/>
                    </w:rPr>
                  </m:ctrlPr>
                </m:sSubPr>
                <m:e>
                  <m:r>
                    <w:rPr>
                      <w:rFonts w:ascii="Cambria Math" w:hAnsi="Cambria Math"/>
                    </w:rPr>
                    <m:t>v</m:t>
                  </m:r>
                </m:e>
                <m:sub>
                  <m:r>
                    <w:rPr>
                      <w:rFonts w:ascii="Cambria Math" w:hAnsi="Cambria Math"/>
                    </w:rPr>
                    <m:t>d</m:t>
                  </m:r>
                </m:sub>
              </m:sSub>
            </m:e>
          </m:d>
        </m:oMath>
      </m:oMathPara>
    </w:p>
    <w:p w14:paraId="5539ED25" w14:textId="77777777" w:rsidR="00E830BB" w:rsidRDefault="00E830BB" w:rsidP="00E830BB">
      <w:r>
        <w:t xml:space="preserve">that is, the phenotype of the </w:t>
      </w:r>
      <m:oMath>
        <m:r>
          <w:rPr>
            <w:rFonts w:ascii="Cambria Math" w:hAnsi="Cambria Math"/>
          </w:rPr>
          <m:t>i</m:t>
        </m:r>
      </m:oMath>
      <w:r>
        <w:t xml:space="preserve"> th. individual is the sum of the grand mean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the genotype main effect of </w:t>
      </w:r>
      <m:oMath>
        <m:sSub>
          <m:sSubPr>
            <m:ctrlPr>
              <w:rPr>
                <w:rFonts w:ascii="Cambria Math" w:hAnsi="Cambria Math"/>
                <w:i/>
              </w:rPr>
            </m:ctrlPr>
          </m:sSubPr>
          <m:e>
            <m:r>
              <w:rPr>
                <w:rFonts w:ascii="Cambria Math" w:hAnsi="Cambria Math"/>
              </w:rPr>
              <m:t>g</m:t>
            </m:r>
          </m:e>
          <m:sub>
            <m:r>
              <w:rPr>
                <w:rFonts w:ascii="Cambria Math" w:hAnsi="Cambria Math"/>
              </w:rPr>
              <m:t>i</m:t>
            </m:r>
          </m:sub>
        </m:sSub>
      </m:oMath>
      <w:r>
        <w:t xml:space="preserve"> with effect size </w:t>
      </w:r>
      <m:oMath>
        <m:r>
          <w:rPr>
            <w:rFonts w:ascii="Cambria Math" w:hAnsi="Cambria Math"/>
          </w:rPr>
          <m:t>a</m:t>
        </m:r>
      </m:oMath>
      <w:r>
        <w:t xml:space="preserve">, the gene by environment interaction effect of </w:t>
      </w:r>
      <m:oMath>
        <m:sSub>
          <m:sSubPr>
            <m:ctrlPr>
              <w:rPr>
                <w:rFonts w:ascii="Cambria Math" w:hAnsi="Cambria Math"/>
                <w:bCs/>
                <w:i/>
              </w:rPr>
            </m:ctrlPr>
          </m:sSubPr>
          <m:e>
            <m:d>
              <m:dPr>
                <m:ctrlPr>
                  <w:rPr>
                    <w:rFonts w:ascii="Cambria Math" w:hAnsi="Cambria Math"/>
                    <w:bCs/>
                    <w:i/>
                  </w:rPr>
                </m:ctrlPr>
              </m:dPr>
              <m:e>
                <m:r>
                  <w:rPr>
                    <w:rFonts w:ascii="Cambria Math" w:hAnsi="Cambria Math"/>
                  </w:rPr>
                  <m:t>ug</m:t>
                </m:r>
              </m:e>
            </m:d>
          </m:e>
          <m:sub>
            <m:r>
              <w:rPr>
                <w:rFonts w:ascii="Cambria Math" w:hAnsi="Cambria Math"/>
              </w:rPr>
              <m:t>i</m:t>
            </m:r>
          </m:sub>
        </m:sSub>
      </m:oMath>
      <w:r>
        <w:rPr>
          <w:bCs/>
        </w:rPr>
        <w:t xml:space="preserve"> </w:t>
      </w:r>
      <w:r>
        <w:t xml:space="preserve">with effect size </w:t>
      </w:r>
      <m:oMath>
        <m:r>
          <w:rPr>
            <w:rFonts w:ascii="Cambria Math" w:hAnsi="Cambria Math"/>
          </w:rPr>
          <m:t>b</m:t>
        </m:r>
      </m:oMath>
      <w:r>
        <w:t xml:space="preserve">, the environmental main effect </w:t>
      </w:r>
      <m:oMath>
        <m:sSub>
          <m:sSubPr>
            <m:ctrlPr>
              <w:rPr>
                <w:rFonts w:ascii="Cambria Math" w:hAnsi="Cambria Math"/>
                <w:i/>
              </w:rPr>
            </m:ctrlPr>
          </m:sSubPr>
          <m:e>
            <m:r>
              <w:rPr>
                <w:rFonts w:ascii="Cambria Math" w:hAnsi="Cambria Math"/>
              </w:rPr>
              <m:t>u</m:t>
            </m:r>
            <m:ctrlPr>
              <w:rPr>
                <w:rFonts w:ascii="Cambria Math" w:hAnsi="Cambria Math"/>
                <w:bCs/>
                <w:i/>
              </w:rPr>
            </m:ctrlPr>
          </m:e>
          <m:sub>
            <m:r>
              <w:rPr>
                <w:rFonts w:ascii="Cambria Math" w:hAnsi="Cambria Math"/>
              </w:rPr>
              <m:t>i</m:t>
            </m:r>
          </m:sub>
        </m:sSub>
      </m:oMath>
      <w:r>
        <w:t xml:space="preserve"> with effect size </w:t>
      </w:r>
      <m:oMath>
        <m:r>
          <w:rPr>
            <w:rFonts w:ascii="Cambria Math" w:hAnsi="Cambria Math"/>
          </w:rPr>
          <m:t>c</m:t>
        </m:r>
      </m:oMath>
      <w:r>
        <w:t xml:space="preserve">, the covariate effect of </w:t>
      </w:r>
      <m:oMath>
        <m:sSub>
          <m:sSubPr>
            <m:ctrlPr>
              <w:rPr>
                <w:rFonts w:ascii="Cambria Math" w:hAnsi="Cambria Math"/>
                <w:i/>
              </w:rPr>
            </m:ctrlPr>
          </m:sSubPr>
          <m:e>
            <m:r>
              <w:rPr>
                <w:rFonts w:ascii="Cambria Math" w:hAnsi="Cambria Math"/>
              </w:rPr>
              <m:t>x</m:t>
            </m:r>
            <m:ctrlPr>
              <w:rPr>
                <w:rFonts w:ascii="Cambria Math" w:hAnsi="Cambria Math"/>
                <w:bCs/>
                <w:i/>
              </w:rPr>
            </m:ctrlPr>
          </m:e>
          <m:sub>
            <m:r>
              <w:rPr>
                <w:rFonts w:ascii="Cambria Math" w:hAnsi="Cambria Math"/>
              </w:rPr>
              <m:t>i</m:t>
            </m:r>
          </m:sub>
        </m:sSub>
      </m:oMath>
      <w:r>
        <w:t xml:space="preserve"> with effect size </w:t>
      </w:r>
      <m:oMath>
        <m:r>
          <w:rPr>
            <w:rFonts w:ascii="Cambria Math" w:hAnsi="Cambria Math"/>
          </w:rPr>
          <m:t>d</m:t>
        </m:r>
      </m:oMath>
      <w:r>
        <w:t xml:space="preserve">, and lastly, a random Gaussian white noise </w:t>
      </w:r>
      <m:oMath>
        <m:sSub>
          <m:sSubPr>
            <m:ctrlPr>
              <w:rPr>
                <w:rFonts w:ascii="Cambria Math" w:hAnsi="Cambria Math"/>
                <w:i/>
                <w:iCs/>
              </w:rPr>
            </m:ctrlPr>
          </m:sSubPr>
          <m:e>
            <m:r>
              <w:rPr>
                <w:rFonts w:ascii="Cambria Math" w:hAnsi="Cambria Math"/>
              </w:rPr>
              <m:t>e</m:t>
            </m:r>
            <m:ctrlPr>
              <w:rPr>
                <w:rFonts w:ascii="Cambria Math" w:hAnsi="Cambria Math"/>
              </w:rPr>
            </m:ctrlPr>
          </m:e>
          <m:sub>
            <m:r>
              <w:rPr>
                <w:rFonts w:ascii="Cambria Math" w:hAnsi="Cambria Math"/>
              </w:rPr>
              <m:t>i</m:t>
            </m:r>
          </m:sub>
        </m:sSub>
      </m:oMath>
      <w:r>
        <w:t>.</w:t>
      </w:r>
    </w:p>
    <w:p w14:paraId="2A4B9656" w14:textId="77777777" w:rsidR="00E830BB" w:rsidRDefault="00E830BB" w:rsidP="00E830BB">
      <w:r>
        <w:t xml:space="preserve">The effect sizes, </w:t>
      </w:r>
      <m:oMath>
        <m:r>
          <w:rPr>
            <w:rFonts w:ascii="Cambria Math" w:hAnsi="Cambria Math"/>
          </w:rPr>
          <m:t>{a,b,c,d}</m:t>
        </m:r>
      </m:oMath>
      <w:r>
        <w:t xml:space="preserve"> are drawn from normal distributions of mean zero</w:t>
      </w:r>
      <w:r w:rsidRPr="002333C9">
        <w:t xml:space="preserve"> </w:t>
      </w:r>
      <w:r>
        <w:t xml:space="preserve">at the at the beginning of each repeat and used to generate all N samples (i=1 … N) for that particular repeat; the grand mean </w:t>
      </w:r>
      <m:oMath>
        <m:sSub>
          <m:sSubPr>
            <m:ctrlPr>
              <w:rPr>
                <w:rFonts w:ascii="Cambria Math" w:hAnsi="Cambria Math"/>
                <w:bCs/>
                <w:i/>
              </w:rPr>
            </m:ctrlPr>
          </m:sSubPr>
          <m:e>
            <m:r>
              <w:rPr>
                <w:rFonts w:ascii="Cambria Math" w:hAnsi="Cambria Math"/>
              </w:rPr>
              <m:t>m</m:t>
            </m:r>
          </m:e>
          <m:sub>
            <m:r>
              <w:rPr>
                <w:rFonts w:ascii="Cambria Math" w:hAnsi="Cambria Math"/>
              </w:rPr>
              <m:t>0</m:t>
            </m:r>
          </m:sub>
        </m:sSub>
      </m:oMath>
      <w:r>
        <w:t xml:space="preserve">, the variance of the aforementioned unit effect sizes </w:t>
      </w:r>
      <m:oMath>
        <m:r>
          <w:rPr>
            <w:rFonts w:ascii="Cambria Math" w:hAnsi="Cambria Math"/>
          </w:rPr>
          <m:t>{</m:t>
        </m:r>
        <m:sSub>
          <m:sSubPr>
            <m:ctrlPr>
              <w:rPr>
                <w:rFonts w:ascii="Cambria Math" w:hAnsi="Cambria Math"/>
                <w:bCs/>
                <w:i/>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bCs/>
                <w:i/>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bCs/>
                <w:i/>
              </w:rPr>
            </m:ctrlPr>
          </m:sSubPr>
          <m:e>
            <m:r>
              <w:rPr>
                <w:rFonts w:ascii="Cambria Math" w:hAnsi="Cambria Math"/>
              </w:rPr>
              <m:t>v</m:t>
            </m:r>
          </m:e>
          <m:sub>
            <m:r>
              <w:rPr>
                <w:rFonts w:ascii="Cambria Math" w:hAnsi="Cambria Math"/>
              </w:rPr>
              <m:t>c</m:t>
            </m:r>
          </m:sub>
        </m:sSub>
        <m:r>
          <w:rPr>
            <w:rFonts w:ascii="Cambria Math" w:hAnsi="Cambria Math"/>
          </w:rPr>
          <m:t>,</m:t>
        </m:r>
        <m:sSub>
          <m:sSubPr>
            <m:ctrlPr>
              <w:rPr>
                <w:rFonts w:ascii="Cambria Math" w:hAnsi="Cambria Math"/>
                <w:bCs/>
                <w:i/>
              </w:rPr>
            </m:ctrlPr>
          </m:sSubPr>
          <m:e>
            <m:r>
              <w:rPr>
                <w:rFonts w:ascii="Cambria Math" w:hAnsi="Cambria Math"/>
              </w:rPr>
              <m:t>v</m:t>
            </m:r>
          </m:e>
          <m:sub>
            <m:r>
              <w:rPr>
                <w:rFonts w:ascii="Cambria Math" w:hAnsi="Cambria Math"/>
              </w:rPr>
              <m:t>d</m:t>
            </m:r>
          </m:sub>
        </m:sSub>
        <m:r>
          <w:rPr>
            <w:rFonts w:ascii="Cambria Math" w:hAnsi="Cambria Math"/>
          </w:rPr>
          <m:t>}</m:t>
        </m:r>
      </m:oMath>
      <w:r>
        <w:t xml:space="preserve">, as well as the variance of the white noise </w:t>
      </w:r>
      <m:oMath>
        <m:sSub>
          <m:sSubPr>
            <m:ctrlPr>
              <w:rPr>
                <w:rFonts w:ascii="Cambria Math" w:hAnsi="Cambria Math"/>
                <w:bCs/>
                <w:i/>
              </w:rPr>
            </m:ctrlPr>
          </m:sSubPr>
          <m:e>
            <m:r>
              <w:rPr>
                <w:rFonts w:ascii="Cambria Math" w:hAnsi="Cambria Math"/>
              </w:rPr>
              <m:t>v</m:t>
            </m:r>
          </m:e>
          <m:sub>
            <m:r>
              <w:rPr>
                <w:rFonts w:ascii="Cambria Math" w:hAnsi="Cambria Math"/>
              </w:rPr>
              <m:t>e</m:t>
            </m:r>
          </m:sub>
        </m:sSub>
      </m:oMath>
      <w:r>
        <w:t>, are pre-determined by the scenario to be simulated, and are fixed throughout all 20,000 repeats.</w:t>
      </w:r>
    </w:p>
    <w:p w14:paraId="30D31851" w14:textId="77777777" w:rsidR="00E830BB" w:rsidRDefault="00E830BB" w:rsidP="00E830BB">
      <w:r>
        <w:t>There are two scenarios involving additively generated Gaussian phenotype, one with coexisting environmental main effect and GxE effect, one with purely GxE effect. To simulate these two scenarios, the following parameters were used:</w:t>
      </w:r>
    </w:p>
    <w:p w14:paraId="2D58A24F" w14:textId="77777777" w:rsidR="00E830BB" w:rsidRPr="00C05729"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=0</m:t>
        </m:r>
      </m:oMath>
      <w:r w:rsidR="00E830BB">
        <w:t>; the grand mean</w:t>
      </w:r>
    </w:p>
    <w:p w14:paraId="3C578418" w14:textId="77777777" w:rsidR="00E830BB" w:rsidRPr="00B57543"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a</m:t>
            </m:r>
          </m:sub>
        </m:sSub>
        <m:r>
          <w:rPr>
            <w:rFonts w:ascii="Cambria Math" w:hAnsi="Cambria Math"/>
          </w:rPr>
          <m:t>=0.5</m:t>
        </m:r>
      </m:oMath>
      <w:r w:rsidR="00E830BB">
        <w:t xml:space="preserve">: the variance of genotype main effect </w:t>
      </w:r>
      <m:oMath>
        <m:r>
          <w:rPr>
            <w:rFonts w:ascii="Cambria Math" w:hAnsi="Cambria Math"/>
          </w:rPr>
          <m:t>a</m:t>
        </m:r>
      </m:oMath>
      <w:r w:rsidR="00E830BB" w:rsidRPr="00521CC0">
        <w:t>.</w:t>
      </w:r>
    </w:p>
    <w:p w14:paraId="04736CEE" w14:textId="77777777" w:rsidR="00E830BB" w:rsidRPr="00696C78"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b</m:t>
            </m:r>
          </m:sub>
        </m:sSub>
        <m:r>
          <w:rPr>
            <w:rFonts w:ascii="Cambria Math" w:hAnsi="Cambria Math"/>
          </w:rPr>
          <m:t>=1.0</m:t>
        </m:r>
      </m:oMath>
      <w:r w:rsidR="00E830BB">
        <w:t xml:space="preserve">: the variance of gene-by-environment interaction effect </w:t>
      </w:r>
      <m:oMath>
        <m:r>
          <w:rPr>
            <w:rFonts w:ascii="Cambria Math" w:hAnsi="Cambria Math"/>
          </w:rPr>
          <m:t>b</m:t>
        </m:r>
      </m:oMath>
      <w:r w:rsidR="00E830BB" w:rsidRPr="004751E7">
        <w:t xml:space="preserve"> (when not null)</w:t>
      </w:r>
      <w:r w:rsidR="00E830BB">
        <w:t>.</w:t>
      </w:r>
    </w:p>
    <w:p w14:paraId="5B26A2A1" w14:textId="77777777" w:rsidR="00E830BB" w:rsidRPr="003C08E2"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c</m:t>
            </m:r>
          </m:sub>
        </m:sSub>
      </m:oMath>
      <w:r w:rsidR="00E830BB">
        <w:rPr>
          <w:bCs/>
        </w:rPr>
        <w:t xml:space="preserve">: the variance of </w:t>
      </w:r>
      <w:r w:rsidR="00E830BB">
        <w:t xml:space="preserve">environmental main effect </w:t>
      </w:r>
      <m:oMath>
        <m:r>
          <w:rPr>
            <w:rFonts w:ascii="Cambria Math" w:hAnsi="Cambria Math"/>
          </w:rPr>
          <m:t>c</m:t>
        </m:r>
      </m:oMath>
      <w:r w:rsidR="00E830BB">
        <w:t>.</w:t>
      </w:r>
    </w:p>
    <w:p w14:paraId="7439CEDB" w14:textId="77777777" w:rsidR="00E830BB" w:rsidRDefault="007F3C26" w:rsidP="00E830BB">
      <w:pPr>
        <w:pStyle w:val="ListParagraph"/>
        <w:numPr>
          <w:ilvl w:val="1"/>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c</m:t>
            </m:r>
          </m:sub>
        </m:sSub>
        <m:r>
          <w:rPr>
            <w:rFonts w:ascii="Cambria Math" w:hAnsi="Cambria Math"/>
          </w:rPr>
          <m:t>=0.5</m:t>
        </m:r>
      </m:oMath>
      <w:r w:rsidR="00E830BB">
        <w:rPr>
          <w:bCs/>
        </w:rPr>
        <w:t>: coexisting environmental main effect and GxE effect.</w:t>
      </w:r>
    </w:p>
    <w:p w14:paraId="68C195A0" w14:textId="77777777" w:rsidR="00E830BB" w:rsidRPr="00696C78" w:rsidRDefault="007F3C26" w:rsidP="00E830BB">
      <w:pPr>
        <w:pStyle w:val="ListParagraph"/>
        <w:numPr>
          <w:ilvl w:val="1"/>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c</m:t>
            </m:r>
          </m:sub>
        </m:sSub>
        <m:r>
          <w:rPr>
            <w:rFonts w:ascii="Cambria Math" w:hAnsi="Cambria Math"/>
          </w:rPr>
          <m:t>=0.0</m:t>
        </m:r>
      </m:oMath>
      <w:r w:rsidR="00E830BB">
        <w:rPr>
          <w:bCs/>
        </w:rPr>
        <w:t>: purely GxE effect.</w:t>
      </w:r>
    </w:p>
    <w:p w14:paraId="659614E2" w14:textId="77777777" w:rsidR="00E830BB"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d</m:t>
            </m:r>
          </m:sub>
        </m:sSub>
        <m:r>
          <w:rPr>
            <w:rFonts w:ascii="Cambria Math" w:hAnsi="Cambria Math"/>
          </w:rPr>
          <m:t>=1</m:t>
        </m:r>
      </m:oMath>
      <w:r w:rsidR="00E830BB">
        <w:t>, the variance of covariate effect d</w:t>
      </w:r>
    </w:p>
    <w:p w14:paraId="49AC024F" w14:textId="77777777" w:rsidR="00E830BB"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e</m:t>
            </m:r>
          </m:sub>
        </m:sSub>
        <m:r>
          <w:rPr>
            <w:rFonts w:ascii="Cambria Math" w:hAnsi="Cambria Math"/>
          </w:rPr>
          <m:t>=3</m:t>
        </m:r>
      </m:oMath>
      <w:r w:rsidR="00E830BB">
        <w:rPr>
          <w:bCs/>
        </w:rPr>
        <w:t>, the variance of white noise</w:t>
      </w:r>
    </w:p>
    <w:p w14:paraId="66E1733A" w14:textId="77777777" w:rsidR="00E830BB" w:rsidRDefault="00E830BB" w:rsidP="00E830BB">
      <w:r>
        <w:t xml:space="preserve">When the additively generated phenotype </w:t>
      </w:r>
      <m:oMath>
        <m:r>
          <m:rPr>
            <m:sty m:val="bi"/>
          </m:rPr>
          <w:rPr>
            <w:rFonts w:ascii="Cambria Math" w:hAnsi="Cambria Math"/>
          </w:rPr>
          <m:t>y</m:t>
        </m:r>
      </m:oMath>
      <w:r>
        <w:rPr>
          <w:b/>
        </w:rPr>
        <w:t>,</w:t>
      </w:r>
      <w:r w:rsidRPr="00512411">
        <w:rPr>
          <w:bCs/>
        </w:rPr>
        <w:t xml:space="preserve"> </w:t>
      </w:r>
      <w:r>
        <w:rPr>
          <w:bCs/>
        </w:rPr>
        <w:t xml:space="preserve">along with the vector of genotype </w:t>
      </w:r>
      <m:oMath>
        <m:r>
          <m:rPr>
            <m:sty m:val="bi"/>
          </m:rPr>
          <w:rPr>
            <w:rFonts w:ascii="Cambria Math" w:hAnsi="Cambria Math"/>
          </w:rPr>
          <m:t>g</m:t>
        </m:r>
      </m:oMath>
      <w:r>
        <w:rPr>
          <w:bCs/>
        </w:rPr>
        <w:t xml:space="preserve"> and covariate </w:t>
      </w:r>
      <m:oMath>
        <m:r>
          <m:rPr>
            <m:sty m:val="bi"/>
          </m:rPr>
          <w:rPr>
            <w:rFonts w:ascii="Cambria Math" w:hAnsi="Cambria Math"/>
          </w:rPr>
          <m:t>x</m:t>
        </m:r>
      </m:oMath>
      <w:r>
        <w:rPr>
          <w:bCs/>
        </w:rPr>
        <w:t xml:space="preserve"> are presented, as if the environment </w:t>
      </w:r>
      <m:oMath>
        <m:r>
          <m:rPr>
            <m:sty m:val="bi"/>
          </m:rPr>
          <w:rPr>
            <w:rFonts w:ascii="Cambria Math" w:hAnsi="Cambria Math"/>
          </w:rPr>
          <m:t>u</m:t>
        </m:r>
      </m:oMath>
      <w:r>
        <w:rPr>
          <w:bCs/>
        </w:rPr>
        <w:t xml:space="preserve"> was unobserved, </w:t>
      </w:r>
      <m:oMath>
        <m:r>
          <m:rPr>
            <m:sty m:val="bi"/>
          </m:rPr>
          <w:rPr>
            <w:rFonts w:ascii="Cambria Math" w:hAnsi="Cambria Math"/>
          </w:rPr>
          <m:t>g</m:t>
        </m:r>
      </m:oMath>
      <w:r>
        <w:rPr>
          <w:bCs/>
        </w:rPr>
        <w:t xml:space="preserve"> is an additive variance locus when </w:t>
      </w:r>
      <m:oMath>
        <m:sSub>
          <m:sSubPr>
            <m:ctrlPr>
              <w:rPr>
                <w:rFonts w:ascii="Cambria Math" w:hAnsi="Cambria Math"/>
                <w:bCs/>
                <w:i/>
              </w:rPr>
            </m:ctrlPr>
          </m:sSubPr>
          <m:e>
            <m:r>
              <w:rPr>
                <w:rFonts w:ascii="Cambria Math" w:hAnsi="Cambria Math"/>
              </w:rPr>
              <m:t>v</m:t>
            </m:r>
          </m:e>
          <m:sub>
            <m:r>
              <w:rPr>
                <w:rFonts w:ascii="Cambria Math" w:hAnsi="Cambria Math"/>
              </w:rPr>
              <m:t>b</m:t>
            </m:r>
          </m:sub>
        </m:sSub>
        <m:r>
          <w:rPr>
            <w:rFonts w:ascii="Cambria Math" w:hAnsi="Cambria Math"/>
          </w:rPr>
          <m:t>≠0</m:t>
        </m:r>
      </m:oMath>
      <w:r>
        <w:rPr>
          <w:bCs/>
        </w:rPr>
        <w:t xml:space="preserve">. We also generate two corresponding scenario of null variance locus, but setting </w:t>
      </w:r>
      <m:oMath>
        <m:sSub>
          <m:sSubPr>
            <m:ctrlPr>
              <w:rPr>
                <w:rFonts w:ascii="Cambria Math" w:hAnsi="Cambria Math"/>
                <w:bCs/>
                <w:i/>
              </w:rPr>
            </m:ctrlPr>
          </m:sSubPr>
          <m:e>
            <m:r>
              <w:rPr>
                <w:rFonts w:ascii="Cambria Math" w:hAnsi="Cambria Math"/>
              </w:rPr>
              <m:t>v</m:t>
            </m:r>
          </m:e>
          <m:sub>
            <m:r>
              <w:rPr>
                <w:rFonts w:ascii="Cambria Math" w:hAnsi="Cambria Math"/>
              </w:rPr>
              <m:t>b</m:t>
            </m:r>
          </m:sub>
        </m:sSub>
      </m:oMath>
      <w:r>
        <w:rPr>
          <w:bCs/>
        </w:rPr>
        <w:t xml:space="preserve">, </w:t>
      </w:r>
      <w:r>
        <w:t>the variance of gene-by-environment interaction, to zero.</w:t>
      </w:r>
    </w:p>
    <w:p w14:paraId="720E72CD" w14:textId="77777777" w:rsidR="00E830BB" w:rsidRPr="007D30A6" w:rsidRDefault="00E830BB" w:rsidP="00E830BB">
      <w:pPr>
        <w:pStyle w:val="Heading3"/>
      </w:pPr>
      <w:r>
        <w:t>Multiplicative Gaussian Phenotype</w:t>
      </w:r>
    </w:p>
    <w:p w14:paraId="2F57108B" w14:textId="77777777" w:rsidR="00E830BB" w:rsidRDefault="00E830BB" w:rsidP="00E830BB">
      <w:r>
        <w:t>For each of the N individuals, we can also generate the phenotype according to the Gaussian multiplicative model in equation (5)</w:t>
      </w:r>
    </w:p>
    <w:p w14:paraId="3A2277E4" w14:textId="77777777" w:rsidR="00E830BB" w:rsidRDefault="00E830BB" w:rsidP="00E830BB">
      <w:pPr>
        <w:tabs>
          <w:tab w:val="center" w:pos="4680"/>
          <w:tab w:val="right" w:pos="9360"/>
        </w:tabs>
        <w:jc w:val="left"/>
      </w:pPr>
      <w:r>
        <w:tab/>
      </w:r>
      <m:oMath>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+a</m:t>
            </m:r>
            <m:sSub>
              <m:sSubPr>
                <m:ctrlPr>
                  <w:rPr>
                    <w:rFonts w:ascii="Cambria Math" w:hAnsi="Cambria Math"/>
                    <w:bCs/>
                    <w:i/>
                  </w:rPr>
                </m:ctrlPr>
              </m:sSubPr>
              <m:e>
                <m:r>
                  <w:rPr>
                    <w:rFonts w:ascii="Cambria Math" w:hAnsi="Cambria Math"/>
                  </w:rPr>
                  <m:t>g</m:t>
                </m:r>
              </m:e>
              <m:sub>
                <m:r>
                  <w:rPr>
                    <w:rFonts w:ascii="Cambria Math" w:hAnsi="Cambria Math"/>
                  </w:rPr>
                  <m:t>i</m:t>
                </m:r>
              </m:sub>
            </m:sSub>
            <m:r>
              <w:rPr>
                <w:rFonts w:ascii="Cambria Math" w:hAnsi="Cambria Math"/>
              </w:rPr>
              <m:t>+d</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e</m:t>
                </m:r>
              </m:e>
              <m:sup>
                <m:r>
                  <w:rPr>
                    <w:rFonts w:ascii="Cambria Math" w:hAnsi="Cambria Math"/>
                  </w:rPr>
                  <m:t>μ+α</m:t>
                </m:r>
                <m:sSub>
                  <m:sSubPr>
                    <m:ctrlPr>
                      <w:rPr>
                        <w:rFonts w:ascii="Cambria Math" w:hAnsi="Cambria Math"/>
                        <w:bCs/>
                        <w:i/>
                      </w:rPr>
                    </m:ctrlPr>
                  </m:sSubPr>
                  <m:e>
                    <m:r>
                      <w:rPr>
                        <w:rFonts w:ascii="Cambria Math" w:hAnsi="Cambria Math"/>
                      </w:rPr>
                      <m:t>g</m:t>
                    </m:r>
                  </m:e>
                  <m:sub>
                    <m:r>
                      <w:rPr>
                        <w:rFonts w:ascii="Cambria Math" w:hAnsi="Cambria Math"/>
                      </w:rPr>
                      <m:t>i</m:t>
                    </m:r>
                  </m:sub>
                </m:sSub>
                <m:r>
                  <w:rPr>
                    <w:rFonts w:ascii="Cambria Math" w:hAnsi="Cambria Math"/>
                  </w:rPr>
                  <m:t>+β</m:t>
                </m:r>
                <m:sSubSup>
                  <m:sSubSupPr>
                    <m:ctrlPr>
                      <w:rPr>
                        <w:rFonts w:ascii="Cambria Math" w:hAnsi="Cambria Math"/>
                        <w:b/>
                        <w:i/>
                      </w:rPr>
                    </m:ctrlPr>
                  </m:sSubSupPr>
                  <m:e>
                    <m:r>
                      <m:rPr>
                        <m:sty m:val="bi"/>
                      </m:rPr>
                      <w:rPr>
                        <w:rFonts w:ascii="Cambria Math" w:hAnsi="Cambria Math"/>
                      </w:rPr>
                      <m:t>g</m:t>
                    </m:r>
                  </m:e>
                  <m:sub>
                    <m:r>
                      <m:rPr>
                        <m:sty m:val="bi"/>
                      </m:rPr>
                      <w:rPr>
                        <w:rFonts w:ascii="Cambria Math" w:hAnsi="Cambria Math"/>
                      </w:rPr>
                      <m:t>i</m:t>
                    </m:r>
                  </m:sub>
                  <m:sup>
                    <m:r>
                      <w:rPr>
                        <w:rFonts w:ascii="Cambria Math" w:hAnsi="Cambria Math"/>
                      </w:rPr>
                      <m:t>2</m:t>
                    </m:r>
                    <m:ctrlPr>
                      <w:rPr>
                        <w:rFonts w:ascii="Cambria Math" w:hAnsi="Cambria Math"/>
                        <w:i/>
                      </w:rPr>
                    </m:ctrlPr>
                  </m:sup>
                </m:sSubSup>
              </m:sup>
            </m:sSup>
          </m:e>
        </m:d>
        <m:r>
          <w:rPr>
            <w:rFonts w:ascii="Cambria Math" w:hAnsi="Cambria Math"/>
          </w:rPr>
          <m:t>,  i=1…N</m:t>
        </m:r>
      </m:oMath>
    </w:p>
    <w:p w14:paraId="575E4609" w14:textId="77777777" w:rsidR="00E830BB" w:rsidRDefault="00E830BB" w:rsidP="00E830BB">
      <w:r>
        <w:t xml:space="preserve">In this case, the grand mean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and the genotype main effect </w:t>
      </w:r>
      <m:oMath>
        <m:r>
          <w:rPr>
            <w:rFonts w:ascii="Cambria Math" w:hAnsi="Cambria Math"/>
          </w:rPr>
          <m:t>a</m:t>
        </m:r>
      </m:oMath>
      <w:r>
        <w:t xml:space="preserve"> are determined in the same way as the additive scenarios, but the vector of environment </w:t>
      </w:r>
      <m:oMath>
        <m:r>
          <m:rPr>
            <m:sty m:val="bi"/>
          </m:rPr>
          <w:rPr>
            <w:rFonts w:ascii="Cambria Math" w:hAnsi="Cambria Math"/>
          </w:rPr>
          <m:t>u</m:t>
        </m:r>
      </m:oMath>
      <w:r>
        <w:t xml:space="preserve"> is unused. The parameter </w:t>
      </w:r>
      <m:oMath>
        <m:r>
          <w:rPr>
            <w:rFonts w:ascii="Cambria Math" w:hAnsi="Cambria Math"/>
          </w:rPr>
          <m:t>μ</m:t>
        </m:r>
      </m:oMath>
      <w:r>
        <w:t xml:space="preserve"> is the size of non-genetically determined phenotypic variance </w:t>
      </w:r>
      <w:r w:rsidRPr="0014573E">
        <w:rPr>
          <w:bCs/>
        </w:rPr>
        <w:t>in log scale</w:t>
      </w:r>
      <w:r>
        <w:t xml:space="preserve">, including the impact of environment and white noise; the parameter </w:t>
      </w:r>
      <m:oMath>
        <m:r>
          <m:rPr>
            <m:sty m:val="p"/>
          </m:rPr>
          <w:rPr>
            <w:rFonts w:ascii="Cambria Math" w:hAnsi="Cambria Math"/>
          </w:rPr>
          <m:t>α</m:t>
        </m:r>
      </m:oMath>
      <w:r>
        <w:t xml:space="preserve"> and </w:t>
      </w:r>
      <m:oMath>
        <m:r>
          <m:rPr>
            <m:sty m:val="p"/>
          </m:rPr>
          <w:rPr>
            <w:rFonts w:ascii="Cambria Math" w:hAnsi="Cambria Math"/>
          </w:rPr>
          <m:t>β</m:t>
        </m:r>
      </m:oMath>
      <w:r>
        <w:t xml:space="preserve"> determine the link between genotype and phenotypic variance </w:t>
      </w:r>
      <w:r w:rsidRPr="0014573E">
        <w:rPr>
          <w:bCs/>
        </w:rPr>
        <w:t>in log scale</w:t>
      </w:r>
      <w:r w:rsidRPr="00F8565B">
        <w:rPr>
          <w:bCs/>
        </w:rPr>
        <w:t xml:space="preserve">. </w:t>
      </w:r>
      <w:r>
        <w:t xml:space="preserve">When either </w:t>
      </w:r>
      <m:oMath>
        <m:r>
          <m:rPr>
            <m:sty m:val="p"/>
          </m:rPr>
          <w:rPr>
            <w:rFonts w:ascii="Cambria Math" w:hAnsi="Cambria Math"/>
          </w:rPr>
          <m:t>α</m:t>
        </m:r>
      </m:oMath>
      <w:r>
        <w:t xml:space="preserve"> or </w:t>
      </w:r>
      <m:oMath>
        <m:r>
          <m:rPr>
            <m:sty m:val="p"/>
          </m:rPr>
          <w:rPr>
            <w:rFonts w:ascii="Cambria Math" w:hAnsi="Cambria Math"/>
          </w:rPr>
          <m:t>β</m:t>
        </m:r>
      </m:oMath>
      <w:r>
        <w:t xml:space="preserve"> is non-zero, the genotype </w:t>
      </w:r>
      <m:oMath>
        <m:r>
          <m:rPr>
            <m:sty m:val="bi"/>
          </m:rPr>
          <w:rPr>
            <w:rFonts w:ascii="Cambria Math" w:hAnsi="Cambria Math"/>
          </w:rPr>
          <m:t>g</m:t>
        </m:r>
      </m:oMath>
      <w:r>
        <w:t xml:space="preserve"> becomes a multiplicative variance locus by definition. For simplicity, we fixed </w:t>
      </w:r>
      <m:oMath>
        <m:r>
          <m:rPr>
            <m:sty m:val="p"/>
          </m:rPr>
          <w:rPr>
            <w:rFonts w:ascii="Cambria Math" w:hAnsi="Cambria Math"/>
          </w:rPr>
          <m:t>β</m:t>
        </m:r>
      </m:oMath>
      <w:r>
        <w:t xml:space="preserve"> to 0. To choose </w:t>
      </w:r>
      <m:oMath>
        <m:r>
          <w:rPr>
            <w:rFonts w:ascii="Cambria Math" w:hAnsi="Cambria Math"/>
          </w:rPr>
          <m:t>μ</m:t>
        </m:r>
      </m:oMath>
      <w:r>
        <w:t xml:space="preserve"> and </w:t>
      </w:r>
      <m:oMath>
        <m:r>
          <m:rPr>
            <m:sty m:val="p"/>
          </m:rPr>
          <w:rPr>
            <w:rFonts w:ascii="Cambria Math" w:hAnsi="Cambria Math"/>
          </w:rPr>
          <m:t>α</m:t>
        </m:r>
      </m:oMath>
      <w:r>
        <w:t xml:space="preserve">, we record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c</m:t>
                    </m:r>
                  </m:sub>
                </m:sSub>
              </m:e>
            </m:d>
          </m:e>
        </m:func>
      </m:oMath>
      <w:r>
        <w:t xml:space="preserve">, that is, the variance of the </w:t>
      </w:r>
      <w:r>
        <w:lastRenderedPageBreak/>
        <w:t xml:space="preserve">additively generated phenotype in log scale without GxE interaction; we also record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m:t>
                    </m:r>
                  </m:sub>
                </m:sSub>
                <m:sSub>
                  <m:sSubPr>
                    <m:ctrlPr>
                      <w:rPr>
                        <w:rFonts w:ascii="Cambria Math" w:hAnsi="Cambria Math"/>
                        <w:i/>
                      </w:rPr>
                    </m:ctrlPr>
                  </m:sSubPr>
                  <m:e>
                    <m:r>
                      <w:rPr>
                        <w:rFonts w:ascii="Cambria Math" w:hAnsi="Cambria Math"/>
                      </w:rPr>
                      <m:t>v</m:t>
                    </m:r>
                  </m:e>
                  <m:sub>
                    <m:r>
                      <w:rPr>
                        <w:rFonts w:ascii="Cambria Math" w:hAnsi="Cambria Math"/>
                      </w:rPr>
                      <m:t>g</m:t>
                    </m:r>
                  </m:sub>
                </m:sSub>
              </m:e>
            </m:d>
          </m:e>
        </m:func>
      </m:oMath>
      <w:r>
        <w:t xml:space="preserve">, the variance of additively generated phenotype in log scale with GxE effect, where </w:t>
      </w:r>
      <m:oMath>
        <m:sSub>
          <m:sSubPr>
            <m:ctrlPr>
              <w:rPr>
                <w:rFonts w:ascii="Cambria Math" w:hAnsi="Cambria Math"/>
                <w:i/>
              </w:rPr>
            </m:ctrlPr>
          </m:sSubPr>
          <m:e>
            <m:r>
              <w:rPr>
                <w:rFonts w:ascii="Cambria Math" w:hAnsi="Cambria Math"/>
              </w:rPr>
              <m:t>v</m:t>
            </m:r>
          </m:e>
          <m:sub>
            <m:r>
              <w:rPr>
                <w:rFonts w:ascii="Cambria Math" w:hAnsi="Cambria Math"/>
              </w:rPr>
              <m:t>g</m:t>
            </m:r>
          </m:sub>
        </m:sSub>
      </m:oMath>
      <w:r>
        <w:t xml:space="preserve"> is the genotype variance, or </w:t>
      </w:r>
      <m:oMath>
        <m:r>
          <w:rPr>
            <w:rFonts w:ascii="Cambria Math" w:hAnsi="Cambria Math"/>
          </w:rPr>
          <m:t>4×</m:t>
        </m:r>
        <m:r>
          <m:rPr>
            <m:sty m:val="p"/>
          </m:rPr>
          <w:rPr>
            <w:rFonts w:ascii="Cambria Math" w:hAnsi="Cambria Math"/>
          </w:rPr>
          <m:t>MAF</m:t>
        </m:r>
        <m:r>
          <w:rPr>
            <w:rFonts w:ascii="Cambria Math" w:hAnsi="Cambria Math"/>
          </w:rPr>
          <m:t>×(1-2×</m:t>
        </m:r>
        <m:r>
          <m:rPr>
            <m:sty m:val="p"/>
          </m:rPr>
          <w:rPr>
            <w:rFonts w:ascii="Cambria Math" w:hAnsi="Cambria Math"/>
          </w:rPr>
          <m:t>MAF</m:t>
        </m:r>
        <m:r>
          <w:rPr>
            <w:rFonts w:ascii="Cambria Math" w:hAnsi="Cambria Math"/>
          </w:rPr>
          <m:t>)</m:t>
        </m:r>
      </m:oMath>
      <w:r>
        <w:rPr>
          <w:iCs/>
        </w:rPr>
        <w:t xml:space="preserve">. Doing so ensure the multiplicatively generated phenotype share the same numerical scale with the additively generated phenotype. Next, we </w:t>
      </w:r>
      <w:r>
        <w:t>let the following two take equal chances to happen</w:t>
      </w:r>
    </w:p>
    <w:p w14:paraId="56B1A9CD" w14:textId="77777777" w:rsidR="00E830BB" w:rsidRDefault="00E830BB" w:rsidP="00E830BB">
      <m:oMathPara>
        <m:oMath>
          <m:r>
            <w:rPr>
              <w:rFonts w:ascii="Cambria Math" w:hAnsi="Cambria Math"/>
            </w:rPr>
            <m:t>μ=</m:t>
          </m:r>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 α=</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0</m:t>
                  </m:r>
                </m:sub>
              </m:sSub>
            </m:e>
          </m:d>
          <m:r>
            <w:rPr>
              <w:rFonts w:ascii="Cambria Math" w:hAnsi="Cambria Math"/>
            </w:rPr>
            <m:t xml:space="preserve">   </m:t>
          </m:r>
          <m:r>
            <m:rPr>
              <m:sty m:val="p"/>
            </m:rPr>
            <w:rPr>
              <w:rFonts w:ascii="Cambria Math" w:hAnsi="Cambria Math"/>
            </w:rPr>
            <m:t xml:space="preserve">or   </m:t>
          </m:r>
          <m:r>
            <w:rPr>
              <w:rFonts w:ascii="Cambria Math" w:hAnsi="Cambria Math"/>
            </w:rPr>
            <m:t>μ=</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 α=-</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0</m:t>
                  </m:r>
                </m:sub>
              </m:sSub>
            </m:e>
          </m:d>
          <m:r>
            <m:rPr>
              <m:sty m:val="p"/>
            </m:rPr>
            <w:rPr>
              <w:rFonts w:ascii="Cambria Math" w:hAnsi="Cambria Math"/>
            </w:rPr>
            <w:br/>
          </m:r>
        </m:oMath>
      </m:oMathPara>
      <w:r>
        <w:t xml:space="preserve">where the latter represents a case where phenotypic variance shrinks with each additional allele, corresponding to a latent additive GxE model with squared GxE effect </w:t>
      </w:r>
      <m:oMath>
        <m:sSup>
          <m:sSupPr>
            <m:ctrlPr>
              <w:rPr>
                <w:rFonts w:ascii="Cambria Math" w:hAnsi="Cambria Math"/>
                <w:i/>
              </w:rPr>
            </m:ctrlPr>
          </m:sSupPr>
          <m:e>
            <m:acc>
              <m:accPr>
                <m:ctrlPr>
                  <w:rPr>
                    <w:rFonts w:ascii="Cambria Math" w:hAnsi="Cambria Math"/>
                    <w:i/>
                  </w:rPr>
                </m:ctrlPr>
              </m:accPr>
              <m:e>
                <m:r>
                  <w:rPr>
                    <w:rFonts w:ascii="Cambria Math" w:hAnsi="Cambria Math"/>
                  </w:rPr>
                  <m:t>b</m:t>
                </m:r>
              </m:e>
            </m:acc>
          </m:e>
          <m:sup>
            <m:r>
              <w:rPr>
                <w:rFonts w:ascii="Cambria Math" w:hAnsi="Cambria Math"/>
              </w:rPr>
              <m:t>2</m:t>
            </m:r>
          </m:sup>
        </m:sSup>
        <m:r>
          <w:rPr>
            <w:rFonts w:ascii="Cambria Math" w:hAnsi="Cambria Math"/>
          </w:rPr>
          <m:t>&lt;0</m:t>
        </m:r>
      </m:oMath>
      <w:r>
        <w:t xml:space="preserve">. As stated in the methods, VLA is powerless when GxE effect </w:t>
      </w:r>
      <m:oMath>
        <m:r>
          <w:rPr>
            <w:rFonts w:ascii="Cambria Math" w:hAnsi="Cambria Math"/>
          </w:rPr>
          <m:t>b</m:t>
        </m:r>
      </m:oMath>
      <w:r>
        <w:t xml:space="preserve"> is not real, so we expect VLA to underperform in detecting variance loci for multiplicatively generated phenotypes.</w:t>
      </w:r>
    </w:p>
    <w:p w14:paraId="78CBF1D7" w14:textId="77777777" w:rsidR="00E830BB" w:rsidRDefault="00E830BB" w:rsidP="00E830BB">
      <w:r>
        <w:t xml:space="preserve">The above assignment also ensures the multiplicatively generated phenotype does have null multiplicative variance locus, whenever the additively generated phenotype has null GxE effect (i.e., </w:t>
      </w:r>
      <m:oMath>
        <m:sSub>
          <m:sSubPr>
            <m:ctrlPr>
              <w:rPr>
                <w:rFonts w:ascii="Cambria Math" w:hAnsi="Cambria Math"/>
                <w:i/>
              </w:rPr>
            </m:ctrlPr>
          </m:sSubPr>
          <m:e>
            <m:r>
              <w:rPr>
                <w:rFonts w:ascii="Cambria Math" w:hAnsi="Cambria Math"/>
              </w:rPr>
              <m:t>v</m:t>
            </m:r>
          </m:e>
          <m:sub>
            <m:r>
              <w:rPr>
                <w:rFonts w:ascii="Cambria Math" w:hAnsi="Cambria Math"/>
              </w:rPr>
              <m:t>b</m:t>
            </m:r>
          </m:sub>
        </m:sSub>
        <m:r>
          <w:rPr>
            <w:rFonts w:ascii="Cambria Math" w:hAnsi="Cambria Math"/>
          </w:rPr>
          <m:t>=0</m:t>
        </m:r>
      </m:oMath>
      <w:r>
        <w:t xml:space="preserve">), since in this case,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c</m:t>
                    </m:r>
                  </m:sub>
                </m:sSub>
              </m:e>
            </m:d>
          </m:e>
        </m:func>
      </m:oMath>
      <w:r>
        <w:t xml:space="preserve">, thus </w:t>
      </w:r>
      <m:oMath>
        <m:r>
          <w:rPr>
            <w:rFonts w:ascii="Cambria Math" w:hAnsi="Cambria Math"/>
          </w:rPr>
          <m:t>α=0</m:t>
        </m:r>
      </m:oMath>
      <w:r>
        <w:t>. We summarize the parameter used to multiplicatively generate a Gaussian phenotype here,</w:t>
      </w:r>
    </w:p>
    <w:p w14:paraId="4309B32D" w14:textId="77777777" w:rsidR="00E830BB" w:rsidRPr="00C05729"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=0</m:t>
        </m:r>
      </m:oMath>
      <w:r w:rsidR="00E830BB">
        <w:t>: the grand mean.</w:t>
      </w:r>
    </w:p>
    <w:p w14:paraId="662B98BE" w14:textId="77777777" w:rsidR="00E830BB" w:rsidRPr="008A4D6E"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a</m:t>
            </m:r>
          </m:sub>
        </m:sSub>
        <m:r>
          <w:rPr>
            <w:rFonts w:ascii="Cambria Math" w:hAnsi="Cambria Math"/>
          </w:rPr>
          <m:t>=0.5</m:t>
        </m:r>
      </m:oMath>
      <w:r w:rsidR="00E830BB">
        <w:t xml:space="preserve">: the variance of unit genotype main effect </w:t>
      </w:r>
      <m:oMath>
        <m:r>
          <w:rPr>
            <w:rFonts w:ascii="Cambria Math" w:hAnsi="Cambria Math"/>
          </w:rPr>
          <m:t>a</m:t>
        </m:r>
      </m:oMath>
      <w:r w:rsidR="00E830BB" w:rsidRPr="00521CC0">
        <w:t>.</w:t>
      </w:r>
    </w:p>
    <w:p w14:paraId="318F913C" w14:textId="77777777" w:rsidR="00E830BB" w:rsidRPr="008A4D6E" w:rsidRDefault="007F3C26" w:rsidP="00E830BB">
      <w:pPr>
        <w:pStyle w:val="ListParagraph"/>
        <w:numPr>
          <w:ilvl w:val="0"/>
          <w:numId w:val="8"/>
        </w:numPr>
        <w:rPr>
          <w:bCs/>
        </w:rPr>
      </w:pPr>
      <m:oMath>
        <m:sSub>
          <m:sSubPr>
            <m:ctrlPr>
              <w:rPr>
                <w:rFonts w:ascii="Cambria Math" w:hAnsi="Cambria Math"/>
                <w:bCs/>
                <w:i/>
              </w:rPr>
            </m:ctrlPr>
          </m:sSubPr>
          <m:e>
            <m:r>
              <w:rPr>
                <w:rFonts w:ascii="Cambria Math" w:hAnsi="Cambria Math"/>
              </w:rPr>
              <m:t>v</m:t>
            </m:r>
          </m:e>
          <m:sub>
            <m:r>
              <w:rPr>
                <w:rFonts w:ascii="Cambria Math" w:hAnsi="Cambria Math"/>
              </w:rPr>
              <m:t>d</m:t>
            </m:r>
          </m:sub>
        </m:sSub>
        <m:r>
          <w:rPr>
            <w:rFonts w:ascii="Cambria Math" w:hAnsi="Cambria Math"/>
          </w:rPr>
          <m:t>=1</m:t>
        </m:r>
      </m:oMath>
      <w:r w:rsidR="00E830BB">
        <w:t xml:space="preserve">: the variance of unit covariate effect </w:t>
      </w:r>
      <m:oMath>
        <m:r>
          <w:rPr>
            <w:rFonts w:ascii="Cambria Math" w:hAnsi="Cambria Math"/>
          </w:rPr>
          <m:t>d</m:t>
        </m:r>
      </m:oMath>
      <w:r w:rsidR="00E830BB">
        <w:t>.</w:t>
      </w:r>
    </w:p>
    <w:p w14:paraId="6BC366F6" w14:textId="77777777" w:rsidR="00E830BB" w:rsidRPr="006C11E5" w:rsidRDefault="00E830BB" w:rsidP="00E830BB">
      <w:pPr>
        <w:pStyle w:val="ListParagraph"/>
        <w:numPr>
          <w:ilvl w:val="0"/>
          <w:numId w:val="8"/>
        </w:numPr>
        <w:rPr>
          <w:bCs/>
        </w:rPr>
      </w:pPr>
      <m:oMath>
        <m:r>
          <w:rPr>
            <w:rFonts w:ascii="Cambria Math" w:hAnsi="Cambria Math"/>
          </w:rPr>
          <m:t>μ:</m:t>
        </m:r>
      </m:oMath>
      <w:r>
        <w:t xml:space="preserve"> phenotypic variance not determined b7 genotype, in log scale</w:t>
      </w:r>
    </w:p>
    <w:p w14:paraId="4251E61A" w14:textId="77777777" w:rsidR="00E830BB" w:rsidRPr="006E4A51" w:rsidRDefault="00E830BB" w:rsidP="00E830BB">
      <w:pPr>
        <w:pStyle w:val="ListParagraph"/>
        <w:numPr>
          <w:ilvl w:val="1"/>
          <w:numId w:val="8"/>
        </w:numPr>
        <w:rPr>
          <w:bCs/>
        </w:rPr>
      </w:pPr>
      <m:oMath>
        <m:r>
          <w:rPr>
            <w:rFonts w:ascii="Cambria Math" w:hAnsi="Cambria Math"/>
          </w:rPr>
          <m:t>μ</m:t>
        </m:r>
        <m:r>
          <m:rPr>
            <m:sty m:val="p"/>
          </m:rPr>
          <w:rPr>
            <w:rFonts w:ascii="Cambria Math" w:hAnsi="Cambria Math"/>
          </w:rPr>
          <m:t>=1.10</m:t>
        </m:r>
      </m:oMath>
      <w:r>
        <w:t xml:space="preserve">, when </w:t>
      </w:r>
      <m:oMath>
        <m:r>
          <w:rPr>
            <w:rFonts w:ascii="Cambria Math" w:hAnsi="Cambria Math"/>
          </w:rPr>
          <m:t>α≥0</m:t>
        </m:r>
      </m:oMath>
      <w:r>
        <w:t xml:space="preserve">, or </w:t>
      </w:r>
      <m:oMath>
        <m:r>
          <w:rPr>
            <w:rFonts w:ascii="Cambria Math" w:hAnsi="Cambria Math"/>
          </w:rPr>
          <m:t>μ=</m:t>
        </m:r>
        <m:r>
          <m:rPr>
            <m:sty m:val="p"/>
          </m:rPr>
          <w:rPr>
            <w:rFonts w:ascii="Cambria Math" w:hAnsi="Cambria Math"/>
          </w:rPr>
          <m:t>1.24</m:t>
        </m:r>
      </m:oMath>
      <w:r>
        <w:t xml:space="preserve">, when </w:t>
      </w:r>
      <m:oMath>
        <m:r>
          <w:rPr>
            <w:rFonts w:ascii="Cambria Math" w:hAnsi="Cambria Math"/>
          </w:rPr>
          <m:t>α&lt;0</m:t>
        </m:r>
      </m:oMath>
      <w:r>
        <w:t>,</w:t>
      </w:r>
    </w:p>
    <w:p w14:paraId="5AF53B4D" w14:textId="77777777" w:rsidR="00E830BB" w:rsidRPr="003239BF" w:rsidRDefault="00E830BB" w:rsidP="00E830BB">
      <w:pPr>
        <w:pStyle w:val="ListParagraph"/>
        <w:numPr>
          <w:ilvl w:val="1"/>
          <w:numId w:val="8"/>
        </w:numPr>
        <w:rPr>
          <w:bCs/>
        </w:rPr>
      </w:pPr>
      <w:r>
        <w:t xml:space="preserve">numerically corresponds to </w:t>
      </w:r>
      <m:oMath>
        <m:sSub>
          <m:sSubPr>
            <m:ctrlPr>
              <w:rPr>
                <w:rFonts w:ascii="Cambria Math" w:hAnsi="Cambria Math"/>
                <w:i/>
              </w:rPr>
            </m:ctrlPr>
          </m:sSubPr>
          <m:e>
            <m:r>
              <w:rPr>
                <w:rFonts w:ascii="Cambria Math" w:hAnsi="Cambria Math"/>
              </w:rPr>
              <m:t>v</m:t>
            </m:r>
          </m:e>
          <m:sub>
            <m:r>
              <w:rPr>
                <w:rFonts w:ascii="Cambria Math" w:hAnsi="Cambria Math"/>
              </w:rPr>
              <m:t>c</m:t>
            </m:r>
          </m:sub>
        </m:sSub>
        <m:r>
          <w:rPr>
            <w:rFonts w:ascii="Cambria Math" w:hAnsi="Cambria Math"/>
          </w:rPr>
          <m:t>=0.5</m:t>
        </m:r>
      </m:oMath>
      <w:r>
        <w:t xml:space="preserve"> and </w:t>
      </w:r>
      <m:oMath>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=3.0</m:t>
        </m:r>
      </m:oMath>
      <w:r>
        <w:t xml:space="preserve"> in an additive scenario.</w:t>
      </w:r>
    </w:p>
    <w:p w14:paraId="0CF0DA3C" w14:textId="77777777" w:rsidR="00E830BB" w:rsidRPr="009E1767" w:rsidRDefault="00E830BB" w:rsidP="00E830BB">
      <w:pPr>
        <w:pStyle w:val="ListParagraph"/>
        <w:numPr>
          <w:ilvl w:val="0"/>
          <w:numId w:val="8"/>
        </w:numPr>
        <w:rPr>
          <w:bCs/>
        </w:rPr>
      </w:pPr>
      <m:oMath>
        <m:r>
          <w:rPr>
            <w:rFonts w:ascii="Cambria Math" w:hAnsi="Cambria Math"/>
          </w:rPr>
          <m:t>α</m:t>
        </m:r>
      </m:oMath>
      <w:r>
        <w:t>: change of phenotypic variance per allele, in log scale</w:t>
      </w:r>
    </w:p>
    <w:p w14:paraId="0EF0DA6F" w14:textId="77777777" w:rsidR="00E830BB" w:rsidRPr="00F02093" w:rsidRDefault="00E830BB" w:rsidP="00E830BB">
      <w:pPr>
        <w:pStyle w:val="ListParagraph"/>
        <w:numPr>
          <w:ilvl w:val="1"/>
          <w:numId w:val="8"/>
        </w:numPr>
        <w:rPr>
          <w:bCs/>
        </w:rPr>
      </w:pPr>
      <m:oMath>
        <m:r>
          <w:rPr>
            <w:rFonts w:ascii="Cambria Math" w:hAnsi="Cambria Math"/>
          </w:rPr>
          <m:t>α=+</m:t>
        </m:r>
        <m:r>
          <m:rPr>
            <m:sty m:val="p"/>
          </m:rPr>
          <w:rPr>
            <w:rFonts w:ascii="Cambria Math" w:hAnsi="Cambria Math"/>
          </w:rPr>
          <m:t>0.07</m:t>
        </m:r>
      </m:oMath>
      <w:r>
        <w:t xml:space="preserve">, multiplicative variance locus exists, numerically corresponds to </w:t>
      </w:r>
      <m:oMath>
        <m:sSub>
          <m:sSubPr>
            <m:ctrlPr>
              <w:rPr>
                <w:rFonts w:ascii="Cambria Math" w:hAnsi="Cambria Math"/>
                <w:i/>
              </w:rPr>
            </m:ctrlPr>
          </m:sSubPr>
          <m:e>
            <m:r>
              <w:rPr>
                <w:rFonts w:ascii="Cambria Math" w:hAnsi="Cambria Math"/>
              </w:rPr>
              <m:t>v</m:t>
            </m:r>
          </m:e>
          <m:sub>
            <m:r>
              <w:rPr>
                <w:rFonts w:ascii="Cambria Math" w:hAnsi="Cambria Math"/>
              </w:rPr>
              <m:t>b</m:t>
            </m:r>
          </m:sub>
        </m:sSub>
        <m:r>
          <w:rPr>
            <w:rFonts w:ascii="Cambria Math" w:hAnsi="Cambria Math"/>
          </w:rPr>
          <m:t>=1.0</m:t>
        </m:r>
      </m:oMath>
      <w:r>
        <w:t xml:space="preserve"> in an additive scenario</w:t>
      </w:r>
    </w:p>
    <w:p w14:paraId="48F8955D" w14:textId="77777777" w:rsidR="00E830BB" w:rsidRPr="00732B98" w:rsidRDefault="00E830BB" w:rsidP="00E830BB">
      <w:pPr>
        <w:pStyle w:val="ListParagraph"/>
        <w:numPr>
          <w:ilvl w:val="1"/>
          <w:numId w:val="8"/>
        </w:numPr>
        <w:rPr>
          <w:bCs/>
        </w:rPr>
      </w:pPr>
      <m:oMath>
        <m:r>
          <w:rPr>
            <w:rFonts w:ascii="Cambria Math" w:hAnsi="Cambria Math"/>
          </w:rPr>
          <m:t>α=-</m:t>
        </m:r>
        <m:r>
          <m:rPr>
            <m:sty m:val="p"/>
          </m:rPr>
          <w:rPr>
            <w:rFonts w:ascii="Cambria Math" w:hAnsi="Cambria Math"/>
          </w:rPr>
          <m:t>0.07</m:t>
        </m:r>
      </m:oMath>
      <w:r>
        <w:t xml:space="preserve">, multiplicative variance locus exists, numerically corresponds to </w:t>
      </w:r>
      <m:oMath>
        <m:sSub>
          <m:sSubPr>
            <m:ctrlPr>
              <w:rPr>
                <w:rFonts w:ascii="Cambria Math" w:hAnsi="Cambria Math"/>
                <w:i/>
              </w:rPr>
            </m:ctrlPr>
          </m:sSubPr>
          <m:e>
            <m:r>
              <w:rPr>
                <w:rFonts w:ascii="Cambria Math" w:hAnsi="Cambria Math"/>
              </w:rPr>
              <m:t>v</m:t>
            </m:r>
          </m:e>
          <m:sub>
            <m:r>
              <w:rPr>
                <w:rFonts w:ascii="Cambria Math" w:hAnsi="Cambria Math"/>
              </w:rPr>
              <m:t>b</m:t>
            </m:r>
          </m:sub>
        </m:sSub>
        <m:r>
          <w:rPr>
            <w:rFonts w:ascii="Cambria Math" w:hAnsi="Cambria Math"/>
          </w:rPr>
          <m:t>=-1.0</m:t>
        </m:r>
      </m:oMath>
      <w:r>
        <w:t xml:space="preserve"> which is improper for an additive scenario</w:t>
      </w:r>
    </w:p>
    <w:p w14:paraId="0386DDBE" w14:textId="77777777" w:rsidR="00E830BB" w:rsidRPr="0011280C" w:rsidRDefault="00E830BB" w:rsidP="00E830BB">
      <w:pPr>
        <w:pStyle w:val="ListParagraph"/>
        <w:numPr>
          <w:ilvl w:val="1"/>
          <w:numId w:val="8"/>
        </w:numPr>
        <w:rPr>
          <w:bCs/>
        </w:rPr>
      </w:pPr>
      <m:oMath>
        <m:r>
          <w:rPr>
            <w:rFonts w:ascii="Cambria Math" w:hAnsi="Cambria Math"/>
          </w:rPr>
          <m:t>α=0.0</m:t>
        </m:r>
      </m:oMath>
      <w:r>
        <w:t xml:space="preserve">, no multiplicative variance locus, corresponds to </w:t>
      </w:r>
      <m:oMath>
        <m:sSub>
          <m:sSubPr>
            <m:ctrlPr>
              <w:rPr>
                <w:rFonts w:ascii="Cambria Math" w:hAnsi="Cambria Math"/>
                <w:i/>
              </w:rPr>
            </m:ctrlPr>
          </m:sSubPr>
          <m:e>
            <m:r>
              <w:rPr>
                <w:rFonts w:ascii="Cambria Math" w:hAnsi="Cambria Math"/>
              </w:rPr>
              <m:t>v</m:t>
            </m:r>
          </m:e>
          <m:sub>
            <m:r>
              <w:rPr>
                <w:rFonts w:ascii="Cambria Math" w:hAnsi="Cambria Math"/>
              </w:rPr>
              <m:t>b</m:t>
            </m:r>
          </m:sub>
        </m:sSub>
        <m:r>
          <w:rPr>
            <w:rFonts w:ascii="Cambria Math" w:hAnsi="Cambria Math"/>
          </w:rPr>
          <m:t>=0</m:t>
        </m:r>
      </m:oMath>
      <w:r>
        <w:t>.</w:t>
      </w:r>
    </w:p>
    <w:p w14:paraId="67F5640A" w14:textId="77777777" w:rsidR="00E830BB" w:rsidRPr="0011280C" w:rsidRDefault="00E830BB" w:rsidP="00E830BB">
      <w:pPr>
        <w:pStyle w:val="ListParagraph"/>
        <w:numPr>
          <w:ilvl w:val="0"/>
          <w:numId w:val="8"/>
        </w:numPr>
        <w:rPr>
          <w:bCs/>
        </w:rPr>
      </w:pPr>
      <m:oMath>
        <m:r>
          <w:rPr>
            <w:rFonts w:ascii="Cambria Math" w:hAnsi="Cambria Math"/>
          </w:rPr>
          <m:t>β=0</m:t>
        </m:r>
      </m:oMath>
      <w:r>
        <w:t>:</w:t>
      </w:r>
      <w:r w:rsidRPr="0011280C">
        <w:t xml:space="preserve"> </w:t>
      </w:r>
      <w:r>
        <w:t>change of squared phenotypic variance per allele, in log scale</w:t>
      </w:r>
    </w:p>
    <w:p w14:paraId="4C0BBF4E" w14:textId="77777777" w:rsidR="00E830BB" w:rsidRDefault="00E830BB" w:rsidP="00E830BB">
      <w:pPr>
        <w:rPr>
          <w:bCs/>
        </w:rPr>
      </w:pPr>
      <w:r>
        <w:t xml:space="preserve">With the parameters ready, we draw the phenotype </w:t>
      </w:r>
      <m:oMath>
        <m:r>
          <m:rPr>
            <m:sty m:val="bi"/>
          </m:rPr>
          <w:rPr>
            <w:rFonts w:ascii="Cambria Math" w:hAnsi="Cambria Math"/>
          </w:rPr>
          <m:t>y</m:t>
        </m:r>
      </m:oMath>
      <w:r w:rsidRPr="005C6EDC">
        <w:rPr>
          <w:bCs/>
        </w:rPr>
        <w:t xml:space="preserve"> from the </w:t>
      </w:r>
      <w:r>
        <w:rPr>
          <w:bCs/>
        </w:rPr>
        <w:t>normal</w:t>
      </w:r>
      <w:r w:rsidRPr="005C6EDC">
        <w:rPr>
          <w:bCs/>
        </w:rPr>
        <w:t xml:space="preserve"> distribution</w:t>
      </w:r>
      <w:r>
        <w:rPr>
          <w:bCs/>
        </w:rPr>
        <w:t xml:space="preserve"> and present it along with the genotype </w:t>
      </w:r>
      <m:oMath>
        <m:r>
          <m:rPr>
            <m:sty m:val="bi"/>
          </m:rPr>
          <w:rPr>
            <w:rFonts w:ascii="Cambria Math" w:hAnsi="Cambria Math"/>
          </w:rPr>
          <m:t>g</m:t>
        </m:r>
      </m:oMath>
      <w:r>
        <w:rPr>
          <w:bCs/>
        </w:rPr>
        <w:t xml:space="preserve"> and the covariate </w:t>
      </w:r>
      <m:oMath>
        <m:r>
          <m:rPr>
            <m:sty m:val="bi"/>
          </m:rPr>
          <w:rPr>
            <w:rFonts w:ascii="Cambria Math" w:hAnsi="Cambria Math"/>
          </w:rPr>
          <m:t>x</m:t>
        </m:r>
      </m:oMath>
      <w:r w:rsidRPr="00690059">
        <w:rPr>
          <w:bCs/>
        </w:rPr>
        <w:t>.</w:t>
      </w:r>
      <w:r>
        <w:rPr>
          <w:bCs/>
        </w:rPr>
        <w:t xml:space="preserve"> </w:t>
      </w:r>
    </w:p>
    <w:p w14:paraId="79B6EDD9" w14:textId="77777777" w:rsidR="00E830BB" w:rsidRPr="00731368" w:rsidRDefault="00E830BB" w:rsidP="00E830BB">
      <w:pPr>
        <w:rPr>
          <w:bCs/>
        </w:rPr>
      </w:pPr>
      <w:r>
        <w:t>In total we simulated 6 scenarios for the Gaussian phenotype, listed below, with parameters.</w:t>
      </w:r>
    </w:p>
    <w:tbl>
      <w:tblPr>
        <w:tblStyle w:val="TableGrid"/>
        <w:tblW w:w="9355" w:type="dxa"/>
        <w:tblLook w:val="04A0" w:firstRow="1" w:lastRow="0" w:firstColumn="1" w:lastColumn="0" w:noHBand="0" w:noVBand="1"/>
      </w:tblPr>
      <w:tblGrid>
        <w:gridCol w:w="2046"/>
        <w:gridCol w:w="1639"/>
        <w:gridCol w:w="2790"/>
        <w:gridCol w:w="2880"/>
      </w:tblGrid>
      <w:tr w:rsidR="00E830BB" w:rsidRPr="00787F83" w14:paraId="00A3A7EC" w14:textId="77777777" w:rsidTr="00787F83">
        <w:trPr>
          <w:trHeight w:val="300"/>
        </w:trPr>
        <w:tc>
          <w:tcPr>
            <w:tcW w:w="2046" w:type="dxa"/>
            <w:noWrap/>
            <w:vAlign w:val="center"/>
            <w:hideMark/>
          </w:tcPr>
          <w:p w14:paraId="79CF87DA" w14:textId="77777777" w:rsidR="00E830BB" w:rsidRPr="00787F83" w:rsidRDefault="00E830BB" w:rsidP="00787F83">
            <w:pPr>
              <w:pStyle w:val="NoSpacing"/>
              <w:jc w:val="center"/>
              <w:rPr>
                <w:b/>
                <w:bCs/>
                <w:sz w:val="20"/>
                <w:szCs w:val="20"/>
              </w:rPr>
            </w:pPr>
            <w:r w:rsidRPr="00787F83">
              <w:rPr>
                <w:b/>
                <w:bCs/>
                <w:sz w:val="20"/>
                <w:szCs w:val="20"/>
              </w:rPr>
              <w:t>Gaussian Phenotype</w:t>
            </w:r>
          </w:p>
        </w:tc>
        <w:tc>
          <w:tcPr>
            <w:tcW w:w="1639" w:type="dxa"/>
            <w:noWrap/>
            <w:vAlign w:val="center"/>
            <w:hideMark/>
          </w:tcPr>
          <w:p w14:paraId="299BB74C" w14:textId="77777777" w:rsidR="00E830BB" w:rsidRPr="00787F83" w:rsidRDefault="00E830BB" w:rsidP="00787F83">
            <w:pPr>
              <w:pStyle w:val="NoSpacing"/>
              <w:jc w:val="center"/>
              <w:rPr>
                <w:b/>
                <w:sz w:val="20"/>
                <w:szCs w:val="20"/>
              </w:rPr>
            </w:pPr>
            <w:r w:rsidRPr="00787F83">
              <w:rPr>
                <w:b/>
                <w:sz w:val="20"/>
                <w:szCs w:val="20"/>
              </w:rPr>
              <w:t>variance locus?</w:t>
            </w:r>
          </w:p>
        </w:tc>
        <w:tc>
          <w:tcPr>
            <w:tcW w:w="2790" w:type="dxa"/>
            <w:noWrap/>
            <w:vAlign w:val="center"/>
            <w:hideMark/>
          </w:tcPr>
          <w:p w14:paraId="55D3B740" w14:textId="77777777" w:rsidR="00E830BB" w:rsidRPr="00787F83" w:rsidRDefault="00E830BB" w:rsidP="00787F83">
            <w:pPr>
              <w:pStyle w:val="NoSpacing"/>
              <w:jc w:val="center"/>
              <w:rPr>
                <w:b/>
                <w:sz w:val="20"/>
                <w:szCs w:val="20"/>
              </w:rPr>
            </w:pPr>
            <w:r w:rsidRPr="00787F83">
              <w:rPr>
                <w:b/>
                <w:sz w:val="20"/>
                <w:szCs w:val="20"/>
              </w:rPr>
              <w:t>additive</w:t>
            </w:r>
          </w:p>
        </w:tc>
        <w:tc>
          <w:tcPr>
            <w:tcW w:w="2880" w:type="dxa"/>
            <w:noWrap/>
            <w:vAlign w:val="center"/>
            <w:hideMark/>
          </w:tcPr>
          <w:p w14:paraId="3629E785" w14:textId="77777777" w:rsidR="00E830BB" w:rsidRPr="00787F83" w:rsidRDefault="00E830BB" w:rsidP="00787F83">
            <w:pPr>
              <w:pStyle w:val="NoSpacing"/>
              <w:jc w:val="center"/>
              <w:rPr>
                <w:b/>
                <w:sz w:val="20"/>
                <w:szCs w:val="20"/>
              </w:rPr>
            </w:pPr>
            <w:r w:rsidRPr="00787F83">
              <w:rPr>
                <w:b/>
                <w:sz w:val="20"/>
                <w:szCs w:val="20"/>
              </w:rPr>
              <w:t>multiplicative</w:t>
            </w:r>
          </w:p>
        </w:tc>
      </w:tr>
      <w:tr w:rsidR="00E830BB" w:rsidRPr="00787F83" w14:paraId="769C6349" w14:textId="77777777" w:rsidTr="00787F83">
        <w:trPr>
          <w:trHeight w:val="300"/>
        </w:trPr>
        <w:tc>
          <w:tcPr>
            <w:tcW w:w="2046" w:type="dxa"/>
            <w:vMerge w:val="restart"/>
            <w:noWrap/>
            <w:vAlign w:val="center"/>
            <w:hideMark/>
          </w:tcPr>
          <w:p w14:paraId="216DAA9B" w14:textId="77777777" w:rsidR="00E830BB" w:rsidRPr="00787F83" w:rsidRDefault="00E830BB" w:rsidP="00787F83">
            <w:pPr>
              <w:pStyle w:val="NoSpacing"/>
              <w:jc w:val="center"/>
              <w:rPr>
                <w:b/>
                <w:sz w:val="20"/>
                <w:szCs w:val="20"/>
              </w:rPr>
            </w:pPr>
            <w:r w:rsidRPr="00787F83">
              <w:rPr>
                <w:b/>
                <w:sz w:val="20"/>
                <w:szCs w:val="20"/>
              </w:rPr>
              <w:t>Coexisting Environmental main effect and GxE</w:t>
            </w:r>
          </w:p>
        </w:tc>
        <w:tc>
          <w:tcPr>
            <w:tcW w:w="1639" w:type="dxa"/>
            <w:noWrap/>
            <w:vAlign w:val="center"/>
            <w:hideMark/>
          </w:tcPr>
          <w:p w14:paraId="0736B3B0" w14:textId="77777777" w:rsidR="00E830BB" w:rsidRPr="00787F83" w:rsidRDefault="00E830BB" w:rsidP="00787F83">
            <w:pPr>
              <w:pStyle w:val="NoSpacing"/>
              <w:jc w:val="center"/>
              <w:rPr>
                <w:sz w:val="20"/>
                <w:szCs w:val="20"/>
              </w:rPr>
            </w:pPr>
            <w:r w:rsidRPr="00787F83">
              <w:rPr>
                <w:sz w:val="20"/>
                <w:szCs w:val="20"/>
              </w:rPr>
              <w:t>Yes</w:t>
            </w:r>
          </w:p>
        </w:tc>
        <w:tc>
          <w:tcPr>
            <w:tcW w:w="2790" w:type="dxa"/>
            <w:noWrap/>
            <w:vAlign w:val="center"/>
            <w:hideMark/>
          </w:tcPr>
          <w:p w14:paraId="58980877"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=1.0,</m:t>
                </m:r>
              </m:oMath>
            </m:oMathPara>
          </w:p>
          <w:p w14:paraId="5B89B527"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=3.0</m:t>
                </m:r>
              </m:oMath>
            </m:oMathPara>
          </w:p>
        </w:tc>
        <w:tc>
          <w:tcPr>
            <w:tcW w:w="2880" w:type="dxa"/>
            <w:noWrap/>
            <w:vAlign w:val="center"/>
            <w:hideMark/>
          </w:tcPr>
          <w:p w14:paraId="4CF77B53"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m:t>
                </m:r>
              </m:oMath>
            </m:oMathPara>
          </w:p>
          <w:p w14:paraId="4D42F70B" w14:textId="77777777" w:rsidR="00E830BB" w:rsidRPr="00787F83" w:rsidRDefault="00E830BB" w:rsidP="00787F83">
            <w:pPr>
              <w:pStyle w:val="NoSpacing"/>
              <w:jc w:val="center"/>
              <w:rPr>
                <w:sz w:val="20"/>
                <w:szCs w:val="20"/>
              </w:rPr>
            </w:pPr>
            <m:oMath>
              <m:r>
                <w:rPr>
                  <w:rFonts w:ascii="Cambria Math" w:hAnsi="Cambria Math"/>
                  <w:sz w:val="20"/>
                  <w:szCs w:val="20"/>
                </w:rPr>
                <m:t>β=0, μ=1.1, α=0.07</m:t>
              </m:r>
            </m:oMath>
            <w:r w:rsidRPr="00787F83">
              <w:rPr>
                <w:sz w:val="20"/>
                <w:szCs w:val="20"/>
              </w:rPr>
              <w:t>,</w:t>
            </w:r>
          </w:p>
          <w:p w14:paraId="1D0C3D4F" w14:textId="77777777" w:rsidR="00E830BB" w:rsidRPr="00787F83" w:rsidRDefault="00E830BB" w:rsidP="00787F83">
            <w:pPr>
              <w:pStyle w:val="NoSpacing"/>
              <w:jc w:val="center"/>
              <w:rPr>
                <w:sz w:val="20"/>
                <w:szCs w:val="20"/>
              </w:rPr>
            </w:pPr>
            <w:r w:rsidRPr="00787F83">
              <w:rPr>
                <w:sz w:val="20"/>
                <w:szCs w:val="20"/>
              </w:rPr>
              <w:t xml:space="preserve">or </w:t>
            </w:r>
            <m:oMath>
              <m:r>
                <w:rPr>
                  <w:rFonts w:ascii="Cambria Math" w:hAnsi="Cambria Math"/>
                  <w:sz w:val="20"/>
                  <w:szCs w:val="20"/>
                </w:rPr>
                <m:t>μ=1.25, α=-0.07</m:t>
              </m:r>
            </m:oMath>
          </w:p>
          <w:p w14:paraId="7998D125" w14:textId="77777777" w:rsidR="00E830BB" w:rsidRPr="00787F83" w:rsidRDefault="00E830BB" w:rsidP="00787F83">
            <w:pPr>
              <w:pStyle w:val="NoSpacing"/>
              <w:jc w:val="center"/>
              <w:rPr>
                <w:sz w:val="20"/>
                <w:szCs w:val="20"/>
              </w:rPr>
            </w:pPr>
          </w:p>
        </w:tc>
      </w:tr>
      <w:tr w:rsidR="00E830BB" w:rsidRPr="00787F83" w14:paraId="5235DE8D" w14:textId="77777777" w:rsidTr="00787F83">
        <w:trPr>
          <w:trHeight w:val="300"/>
        </w:trPr>
        <w:tc>
          <w:tcPr>
            <w:tcW w:w="2046" w:type="dxa"/>
            <w:vMerge/>
            <w:noWrap/>
            <w:vAlign w:val="center"/>
            <w:hideMark/>
          </w:tcPr>
          <w:p w14:paraId="6899E89E" w14:textId="77777777" w:rsidR="00E830BB" w:rsidRPr="00787F83" w:rsidRDefault="00E830BB" w:rsidP="00787F83">
            <w:pPr>
              <w:pStyle w:val="NoSpacing"/>
              <w:jc w:val="center"/>
              <w:rPr>
                <w:b/>
                <w:sz w:val="20"/>
                <w:szCs w:val="20"/>
              </w:rPr>
            </w:pPr>
          </w:p>
        </w:tc>
        <w:tc>
          <w:tcPr>
            <w:tcW w:w="1639" w:type="dxa"/>
            <w:noWrap/>
            <w:vAlign w:val="center"/>
            <w:hideMark/>
          </w:tcPr>
          <w:p w14:paraId="737DF466" w14:textId="77777777" w:rsidR="00E830BB" w:rsidRPr="00787F83" w:rsidRDefault="00E830BB" w:rsidP="00787F83">
            <w:pPr>
              <w:pStyle w:val="NoSpacing"/>
              <w:jc w:val="center"/>
              <w:rPr>
                <w:sz w:val="20"/>
                <w:szCs w:val="20"/>
              </w:rPr>
            </w:pPr>
            <w:r w:rsidRPr="00787F83">
              <w:rPr>
                <w:sz w:val="20"/>
                <w:szCs w:val="20"/>
              </w:rPr>
              <w:t>Null</w:t>
            </w:r>
          </w:p>
        </w:tc>
        <w:tc>
          <w:tcPr>
            <w:tcW w:w="2790" w:type="dxa"/>
            <w:noWrap/>
            <w:vAlign w:val="center"/>
            <w:hideMark/>
          </w:tcPr>
          <w:p w14:paraId="4215E8B0"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=0.0,</m:t>
                </m:r>
              </m:oMath>
            </m:oMathPara>
          </w:p>
          <w:p w14:paraId="5D8C76B0"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=3.0</m:t>
                </m:r>
              </m:oMath>
            </m:oMathPara>
          </w:p>
        </w:tc>
        <w:tc>
          <w:tcPr>
            <w:tcW w:w="2880" w:type="dxa"/>
            <w:noWrap/>
            <w:vAlign w:val="center"/>
            <w:hideMark/>
          </w:tcPr>
          <w:p w14:paraId="70B2141A"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m:t>
                </m:r>
              </m:oMath>
            </m:oMathPara>
          </w:p>
          <w:p w14:paraId="7ABA254C" w14:textId="77777777" w:rsidR="00E830BB" w:rsidRPr="00787F83" w:rsidRDefault="00E830BB" w:rsidP="00787F83">
            <w:pPr>
              <w:pStyle w:val="NoSpacing"/>
              <w:jc w:val="center"/>
              <w:rPr>
                <w:sz w:val="20"/>
                <w:szCs w:val="20"/>
              </w:rPr>
            </w:pPr>
            <m:oMathPara>
              <m:oMath>
                <m:r>
                  <w:rPr>
                    <w:rFonts w:ascii="Cambria Math" w:hAnsi="Cambria Math"/>
                    <w:sz w:val="20"/>
                    <w:szCs w:val="20"/>
                  </w:rPr>
                  <m:t>β=0,μ=1.1, α=0.0</m:t>
                </m:r>
              </m:oMath>
            </m:oMathPara>
          </w:p>
        </w:tc>
      </w:tr>
      <w:tr w:rsidR="00E830BB" w:rsidRPr="00787F83" w14:paraId="416C6AA5" w14:textId="77777777" w:rsidTr="00787F83">
        <w:trPr>
          <w:trHeight w:val="300"/>
        </w:trPr>
        <w:tc>
          <w:tcPr>
            <w:tcW w:w="2046" w:type="dxa"/>
            <w:vMerge w:val="restart"/>
            <w:noWrap/>
            <w:vAlign w:val="center"/>
            <w:hideMark/>
          </w:tcPr>
          <w:p w14:paraId="77A7B07E" w14:textId="77777777" w:rsidR="00E830BB" w:rsidRPr="00787F83" w:rsidRDefault="00E830BB" w:rsidP="00787F83">
            <w:pPr>
              <w:pStyle w:val="NoSpacing"/>
              <w:jc w:val="center"/>
              <w:rPr>
                <w:b/>
                <w:sz w:val="20"/>
                <w:szCs w:val="20"/>
              </w:rPr>
            </w:pPr>
            <w:r w:rsidRPr="00787F83">
              <w:rPr>
                <w:b/>
                <w:sz w:val="20"/>
                <w:szCs w:val="20"/>
              </w:rPr>
              <w:t>purely GxE</w:t>
            </w:r>
          </w:p>
        </w:tc>
        <w:tc>
          <w:tcPr>
            <w:tcW w:w="1639" w:type="dxa"/>
            <w:noWrap/>
            <w:vAlign w:val="center"/>
            <w:hideMark/>
          </w:tcPr>
          <w:p w14:paraId="772AD9D7" w14:textId="77777777" w:rsidR="00E830BB" w:rsidRPr="00787F83" w:rsidRDefault="00E830BB" w:rsidP="00787F83">
            <w:pPr>
              <w:pStyle w:val="NoSpacing"/>
              <w:jc w:val="center"/>
              <w:rPr>
                <w:sz w:val="20"/>
                <w:szCs w:val="20"/>
              </w:rPr>
            </w:pPr>
            <w:r w:rsidRPr="00787F83">
              <w:rPr>
                <w:sz w:val="20"/>
                <w:szCs w:val="20"/>
              </w:rPr>
              <w:t>Yes</w:t>
            </w:r>
          </w:p>
        </w:tc>
        <w:tc>
          <w:tcPr>
            <w:tcW w:w="2790" w:type="dxa"/>
            <w:noWrap/>
            <w:vAlign w:val="center"/>
            <w:hideMark/>
          </w:tcPr>
          <w:p w14:paraId="41F407EA"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=1.0,</m:t>
                </m:r>
                <m:r>
                  <m:rPr>
                    <m:sty m:val="p"/>
                  </m:rPr>
                  <w:rPr>
                    <w:rFonts w:ascii="Cambria Math" w:hAnsi="Cambria Math"/>
                    <w:sz w:val="20"/>
                    <w:szCs w:val="20"/>
                  </w:rPr>
                  <w:br/>
                </m:r>
              </m:oMath>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=3.0</m:t>
                </m:r>
              </m:oMath>
            </m:oMathPara>
          </w:p>
        </w:tc>
        <w:tc>
          <w:tcPr>
            <w:tcW w:w="2880" w:type="dxa"/>
            <w:noWrap/>
            <w:vAlign w:val="center"/>
            <w:hideMark/>
          </w:tcPr>
          <w:p w14:paraId="49E06AC2" w14:textId="77777777" w:rsidR="00E830BB" w:rsidRPr="00787F83" w:rsidRDefault="00E830BB" w:rsidP="00787F83">
            <w:pPr>
              <w:pStyle w:val="NoSpacing"/>
              <w:jc w:val="center"/>
              <w:rPr>
                <w:sz w:val="20"/>
                <w:szCs w:val="20"/>
              </w:rPr>
            </w:pPr>
            <w:r w:rsidRPr="00787F83">
              <w:rPr>
                <w:sz w:val="20"/>
                <w:szCs w:val="20"/>
              </w:rPr>
              <w:t>(Not simulated)</w:t>
            </w:r>
          </w:p>
        </w:tc>
      </w:tr>
      <w:tr w:rsidR="00E830BB" w:rsidRPr="00787F83" w14:paraId="403CC394" w14:textId="77777777" w:rsidTr="00787F83">
        <w:trPr>
          <w:trHeight w:val="300"/>
        </w:trPr>
        <w:tc>
          <w:tcPr>
            <w:tcW w:w="2046" w:type="dxa"/>
            <w:vMerge/>
            <w:noWrap/>
            <w:vAlign w:val="center"/>
            <w:hideMark/>
          </w:tcPr>
          <w:p w14:paraId="7744116E" w14:textId="77777777" w:rsidR="00E830BB" w:rsidRPr="00787F83" w:rsidRDefault="00E830BB" w:rsidP="00787F83">
            <w:pPr>
              <w:pStyle w:val="NoSpacing"/>
              <w:jc w:val="center"/>
              <w:rPr>
                <w:sz w:val="20"/>
                <w:szCs w:val="20"/>
              </w:rPr>
            </w:pPr>
          </w:p>
        </w:tc>
        <w:tc>
          <w:tcPr>
            <w:tcW w:w="1639" w:type="dxa"/>
            <w:noWrap/>
            <w:vAlign w:val="center"/>
            <w:hideMark/>
          </w:tcPr>
          <w:p w14:paraId="095DB2D5" w14:textId="77777777" w:rsidR="00E830BB" w:rsidRPr="00787F83" w:rsidRDefault="00E830BB" w:rsidP="00787F83">
            <w:pPr>
              <w:pStyle w:val="NoSpacing"/>
              <w:jc w:val="center"/>
              <w:rPr>
                <w:sz w:val="20"/>
                <w:szCs w:val="20"/>
              </w:rPr>
            </w:pPr>
            <w:r w:rsidRPr="00787F83">
              <w:rPr>
                <w:sz w:val="20"/>
                <w:szCs w:val="20"/>
              </w:rPr>
              <w:t>Null</w:t>
            </w:r>
          </w:p>
        </w:tc>
        <w:tc>
          <w:tcPr>
            <w:tcW w:w="2790" w:type="dxa"/>
            <w:noWrap/>
            <w:vAlign w:val="center"/>
            <w:hideMark/>
          </w:tcPr>
          <w:p w14:paraId="6AA2513F" w14:textId="77777777" w:rsidR="00E830BB" w:rsidRPr="00787F83" w:rsidRDefault="007F3C26" w:rsidP="00787F83">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=0.0,</m:t>
                </m:r>
                <m:r>
                  <m:rPr>
                    <m:sty m:val="p"/>
                  </m:rPr>
                  <w:rPr>
                    <w:rFonts w:ascii="Cambria Math" w:hAnsi="Cambria Math"/>
                    <w:sz w:val="20"/>
                    <w:szCs w:val="20"/>
                  </w:rPr>
                  <w:br/>
                </m:r>
              </m:oMath>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=3.0</m:t>
                </m:r>
              </m:oMath>
            </m:oMathPara>
          </w:p>
        </w:tc>
        <w:tc>
          <w:tcPr>
            <w:tcW w:w="2880" w:type="dxa"/>
            <w:noWrap/>
            <w:vAlign w:val="center"/>
            <w:hideMark/>
          </w:tcPr>
          <w:p w14:paraId="7013BCBE" w14:textId="77777777" w:rsidR="00E830BB" w:rsidRPr="00787F83" w:rsidRDefault="00E830BB" w:rsidP="00787F83">
            <w:pPr>
              <w:pStyle w:val="NoSpacing"/>
              <w:jc w:val="center"/>
              <w:rPr>
                <w:sz w:val="20"/>
                <w:szCs w:val="20"/>
              </w:rPr>
            </w:pPr>
            <w:r w:rsidRPr="00787F83">
              <w:rPr>
                <w:sz w:val="20"/>
                <w:szCs w:val="20"/>
              </w:rPr>
              <w:t>(Not simulated)</w:t>
            </w:r>
          </w:p>
        </w:tc>
      </w:tr>
    </w:tbl>
    <w:p w14:paraId="7627D6A9" w14:textId="1FC90CE2" w:rsidR="00E830BB" w:rsidRDefault="00994789" w:rsidP="00E830BB">
      <w:pPr>
        <w:pStyle w:val="Heading2"/>
      </w:pPr>
      <w:r>
        <w:lastRenderedPageBreak/>
        <w:t xml:space="preserve">Scenarios involving </w:t>
      </w:r>
      <w:r w:rsidR="007122EA">
        <w:t>B</w:t>
      </w:r>
      <w:r w:rsidR="00E830BB">
        <w:t>inary phenotype</w:t>
      </w:r>
    </w:p>
    <w:p w14:paraId="7162FFB0" w14:textId="77777777" w:rsidR="00E830BB" w:rsidRDefault="00E830BB" w:rsidP="00E830BB">
      <w:pPr>
        <w:rPr>
          <w:rFonts w:ascii="Cambria Math" w:hAnsi="Cambria Math"/>
          <w:i/>
          <w:iCs/>
        </w:rPr>
      </w:pPr>
      <w:r>
        <w:t>To simulate a vector of binary phenotype</w:t>
      </w:r>
      <w:r w:rsidRPr="00135B03">
        <w:rPr>
          <w:rFonts w:ascii="Cambria Math" w:hAnsi="Cambria Math"/>
          <w:i/>
          <w:iCs/>
        </w:rPr>
        <w:t xml:space="preserve"> </w:t>
      </w:r>
      <m:oMath>
        <m:r>
          <m:rPr>
            <m:sty m:val="bi"/>
          </m:rPr>
          <w:rPr>
            <w:rFonts w:ascii="Cambria Math" w:hAnsi="Cambria Math"/>
          </w:rPr>
          <m:t>y</m:t>
        </m:r>
      </m:oMath>
      <w:r>
        <w:t xml:space="preserve">, we first generate a vector of Gaussian signal </w:t>
      </w:r>
      <m:oMath>
        <m:r>
          <m:rPr>
            <m:sty m:val="bi"/>
          </m:rPr>
          <w:rPr>
            <w:rFonts w:ascii="Cambria Math" w:hAnsi="Cambria Math"/>
          </w:rPr>
          <m:t>η</m:t>
        </m:r>
      </m:oMath>
      <w:r>
        <w:t xml:space="preserve"> either additively or multiplicatively as the previous section, then convert </w:t>
      </w:r>
      <m:oMath>
        <m:r>
          <m:rPr>
            <m:sty m:val="bi"/>
          </m:rPr>
          <w:rPr>
            <w:rFonts w:ascii="Cambria Math" w:hAnsi="Cambria Math"/>
          </w:rPr>
          <m:t>η</m:t>
        </m:r>
      </m:oMath>
      <w:r>
        <w:rPr>
          <w:b/>
          <w:bCs/>
        </w:rPr>
        <w:t xml:space="preserve"> </w:t>
      </w:r>
      <w:r>
        <w:t xml:space="preserve">to probabilities of disease onset with logistic function, and finally, we randomly drew 1 = case and 0 = control as phenotype from one-trail binomial distribution (i.e., </w:t>
      </w:r>
      <w:r w:rsidRPr="001E3BEB">
        <w:t>Bernoulli trial</w:t>
      </w:r>
      <w:r>
        <w:t>) with the said probabilities of disease onset, that is,</w:t>
      </w:r>
    </w:p>
    <w:p w14:paraId="7DF7EB29" w14:textId="77777777" w:rsidR="00E830BB" w:rsidRDefault="007F3C26" w:rsidP="00E830BB">
      <w:pPr>
        <w:jc w:val="center"/>
        <w:rPr>
          <w:rFonts w:ascii="Cambria Math" w:hAnsi="Cambria Math"/>
          <w:iCs/>
        </w:rPr>
      </w:pPr>
      <m:oMathPara>
        <m:oMath>
          <m:sSub>
            <m:sSubPr>
              <m:ctrlPr>
                <w:rPr>
                  <w:rFonts w:ascii="Cambria Math" w:hAnsi="Cambria Math"/>
                  <w:i/>
                  <w:iCs/>
                </w:rPr>
              </m:ctrlPr>
            </m:sSubPr>
            <m:e>
              <m:r>
                <w:rPr>
                  <w:rFonts w:ascii="Cambria Math" w:hAnsi="Cambria Math"/>
                </w:rPr>
                <m:t>y</m:t>
              </m:r>
            </m:e>
            <m:sub>
              <m:r>
                <w:rPr>
                  <w:rFonts w:ascii="Cambria Math" w:hAnsi="Cambria Math"/>
                </w:rPr>
                <m:t>i</m:t>
              </m:r>
            </m:sub>
          </m:sSub>
          <m:r>
            <w:rPr>
              <w:rFonts w:ascii="Cambria Math" w:hAnsi="Cambria Math"/>
            </w:rPr>
            <m:t>~</m:t>
          </m:r>
          <m:r>
            <m:rPr>
              <m:sty m:val="p"/>
            </m:rPr>
            <w:rPr>
              <w:rFonts w:ascii="Cambria Math" w:hAnsi="Cambria Math"/>
            </w:rPr>
            <m:t>Binomial</m:t>
          </m:r>
          <m:d>
            <m:dPr>
              <m:ctrlPr>
                <w:rPr>
                  <w:rFonts w:ascii="Cambria Math" w:hAnsi="Cambria Math"/>
                  <w:i/>
                  <w:iCs/>
                </w:rPr>
              </m:ctrlPr>
            </m:dPr>
            <m:e>
              <m:r>
                <w:rPr>
                  <w:rFonts w:ascii="Cambria Math" w:hAnsi="Cambria Math"/>
                </w:rPr>
                <m:t>n=1, p=</m:t>
              </m:r>
              <m:sSub>
                <m:sSubPr>
                  <m:ctrlPr>
                    <w:rPr>
                      <w:rFonts w:ascii="Cambria Math" w:hAnsi="Cambria Math"/>
                      <w:i/>
                      <w:iCs/>
                    </w:rPr>
                  </m:ctrlPr>
                </m:sSubPr>
                <m:e>
                  <m:r>
                    <w:rPr>
                      <w:rFonts w:ascii="Cambria Math" w:hAnsi="Cambria Math"/>
                    </w:rPr>
                    <m:t>π</m:t>
                  </m:r>
                </m:e>
                <m:sub>
                  <m:r>
                    <w:rPr>
                      <w:rFonts w:ascii="Cambria Math" w:hAnsi="Cambria Math"/>
                    </w:rPr>
                    <m:t>i</m:t>
                  </m:r>
                </m:sub>
              </m:sSub>
            </m:e>
          </m:d>
          <m:r>
            <w:rPr>
              <w:rFonts w:ascii="Cambria Math" w:hAnsi="Cambria Math"/>
            </w:rPr>
            <m:t xml:space="preserve">,  </m:t>
          </m:r>
          <m:sSub>
            <m:sSubPr>
              <m:ctrlPr>
                <w:rPr>
                  <w:rFonts w:ascii="Cambria Math" w:hAnsi="Cambria Math"/>
                  <w:bCs/>
                  <w:i/>
                </w:rPr>
              </m:ctrlPr>
            </m:sSubPr>
            <m:e>
              <m:r>
                <w:rPr>
                  <w:rFonts w:ascii="Cambria Math" w:hAnsi="Cambria Math"/>
                </w:rPr>
                <m:t>π</m:t>
              </m:r>
            </m:e>
            <m:sub>
              <m:r>
                <w:rPr>
                  <w:rFonts w:ascii="Cambria Math" w:hAnsi="Cambria Math"/>
                </w:rPr>
                <m:t>i</m:t>
              </m:r>
            </m:sub>
          </m:sSub>
          <m: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sSub>
                        <m:sSubPr>
                          <m:ctrlPr>
                            <w:rPr>
                              <w:rFonts w:ascii="Cambria Math" w:hAnsi="Cambria Math"/>
                              <w:bCs/>
                              <w:i/>
                            </w:rPr>
                          </m:ctrlPr>
                        </m:sSubPr>
                        <m:e>
                          <m:r>
                            <w:rPr>
                              <w:rFonts w:ascii="Cambria Math" w:hAnsi="Cambria Math"/>
                            </w:rPr>
                            <m:t>η</m:t>
                          </m:r>
                          <m:ctrlPr>
                            <w:rPr>
                              <w:rFonts w:ascii="Cambria Math" w:hAnsi="Cambria Math"/>
                              <w:bCs/>
                            </w:rPr>
                          </m:ctrlPr>
                        </m:e>
                        <m:sub>
                          <m:r>
                            <w:rPr>
                              <w:rFonts w:ascii="Cambria Math" w:hAnsi="Cambria Math"/>
                            </w:rPr>
                            <m:t>i</m:t>
                          </m:r>
                        </m:sub>
                      </m:sSub>
                    </m:sup>
                  </m:sSup>
                </m:e>
              </m:d>
              <m:ctrlPr>
                <w:rPr>
                  <w:rFonts w:ascii="Cambria Math" w:hAnsi="Cambria Math"/>
                  <w:i/>
                </w:rPr>
              </m:ctrlPr>
            </m:e>
            <m:sup>
              <m:r>
                <w:rPr>
                  <w:rFonts w:ascii="Cambria Math" w:hAnsi="Cambria Math"/>
                </w:rPr>
                <m:t>-1</m:t>
              </m:r>
            </m:sup>
          </m:sSup>
          <m:r>
            <w:rPr>
              <w:rFonts w:ascii="Cambria Math" w:hAnsi="Cambria Math"/>
            </w:rPr>
            <m:t>,  i=1…N</m:t>
          </m:r>
        </m:oMath>
      </m:oMathPara>
    </w:p>
    <w:p w14:paraId="2B057736" w14:textId="77777777" w:rsidR="00E830BB" w:rsidRDefault="00E830BB" w:rsidP="00E830BB">
      <w:r>
        <w:t xml:space="preserve">We manipulated the grand mean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of the Gaussian signal </w:t>
      </w:r>
      <m:oMath>
        <m:r>
          <m:rPr>
            <m:sty m:val="bi"/>
          </m:rPr>
          <w:rPr>
            <w:rFonts w:ascii="Cambria Math" w:hAnsi="Cambria Math"/>
          </w:rPr>
          <m:t>η</m:t>
        </m:r>
      </m:oMath>
      <w:r>
        <w:t xml:space="preserve"> to engineer rarity of the resulting binary phenotype, such that </w:t>
      </w: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=0</m:t>
        </m:r>
      </m:oMath>
      <w:r>
        <w:t xml:space="preserve"> gives balance case/control ratio, </w:t>
      </w: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=-1.25</m:t>
        </m:r>
      </m:oMath>
      <w:r>
        <w:t xml:space="preserve"> gives a prevalence of 22%, and </w:t>
      </w: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=-2.5</m:t>
        </m:r>
      </m:oMath>
      <w:r>
        <w:t xml:space="preserve"> gives a prevalence of 7.6% which is close to the rate of type 2 diabetes in the UK Biobank. We enlarged the variance of covariate effect to </w:t>
      </w:r>
      <m:oMath>
        <m:sSub>
          <m:sSubPr>
            <m:ctrlPr>
              <w:rPr>
                <w:rFonts w:ascii="Cambria Math" w:hAnsi="Cambria Math"/>
                <w:i/>
              </w:rPr>
            </m:ctrlPr>
          </m:sSubPr>
          <m:e>
            <m:r>
              <w:rPr>
                <w:rFonts w:ascii="Cambria Math" w:hAnsi="Cambria Math"/>
              </w:rPr>
              <m:t>v</m:t>
            </m:r>
          </m:e>
          <m:sub>
            <m:r>
              <w:rPr>
                <w:rFonts w:ascii="Cambria Math" w:hAnsi="Cambria Math"/>
              </w:rPr>
              <m:t>d</m:t>
            </m:r>
          </m:sub>
        </m:sSub>
        <m:r>
          <w:rPr>
            <w:rFonts w:ascii="Cambria Math" w:hAnsi="Cambria Math"/>
          </w:rPr>
          <m:t>=4</m:t>
        </m:r>
      </m:oMath>
      <w:r>
        <w:t xml:space="preserve">, since covariate adjustment is crucial in restoring statistical power for binary phenotypes. Lastly, we shrunk the variance of noise to </w:t>
      </w:r>
      <m:oMath>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=1</m:t>
        </m:r>
      </m:oMath>
      <w:r>
        <w:t>. The rundown of simulation parameters for binary phenotypes is shown below,</w:t>
      </w:r>
    </w:p>
    <w:tbl>
      <w:tblPr>
        <w:tblStyle w:val="TableGrid"/>
        <w:tblW w:w="9355" w:type="dxa"/>
        <w:tblLook w:val="04A0" w:firstRow="1" w:lastRow="0" w:firstColumn="1" w:lastColumn="0" w:noHBand="0" w:noVBand="1"/>
      </w:tblPr>
      <w:tblGrid>
        <w:gridCol w:w="2046"/>
        <w:gridCol w:w="1639"/>
        <w:gridCol w:w="2790"/>
        <w:gridCol w:w="2880"/>
      </w:tblGrid>
      <w:tr w:rsidR="00E830BB" w:rsidRPr="00787F83" w14:paraId="42637F9C" w14:textId="77777777" w:rsidTr="00F1071D">
        <w:trPr>
          <w:trHeight w:val="300"/>
        </w:trPr>
        <w:tc>
          <w:tcPr>
            <w:tcW w:w="2046" w:type="dxa"/>
            <w:noWrap/>
            <w:vAlign w:val="center"/>
            <w:hideMark/>
          </w:tcPr>
          <w:p w14:paraId="0BBB1B14" w14:textId="77777777" w:rsidR="00E830BB" w:rsidRPr="00787F83" w:rsidRDefault="00E830BB" w:rsidP="00F1071D">
            <w:pPr>
              <w:pStyle w:val="NoSpacing"/>
              <w:jc w:val="center"/>
              <w:rPr>
                <w:sz w:val="20"/>
                <w:szCs w:val="20"/>
              </w:rPr>
            </w:pPr>
            <w:r w:rsidRPr="00787F83">
              <w:rPr>
                <w:sz w:val="20"/>
                <w:szCs w:val="20"/>
              </w:rPr>
              <w:t>Binary Phenotype</w:t>
            </w:r>
          </w:p>
        </w:tc>
        <w:tc>
          <w:tcPr>
            <w:tcW w:w="1639" w:type="dxa"/>
            <w:noWrap/>
            <w:vAlign w:val="center"/>
            <w:hideMark/>
          </w:tcPr>
          <w:p w14:paraId="240A742E" w14:textId="77777777" w:rsidR="00E830BB" w:rsidRPr="00787F83" w:rsidRDefault="00E830BB" w:rsidP="00F1071D">
            <w:pPr>
              <w:pStyle w:val="NoSpacing"/>
              <w:jc w:val="center"/>
              <w:rPr>
                <w:b/>
                <w:sz w:val="20"/>
                <w:szCs w:val="20"/>
              </w:rPr>
            </w:pPr>
            <w:r w:rsidRPr="00787F83">
              <w:rPr>
                <w:b/>
                <w:sz w:val="20"/>
                <w:szCs w:val="20"/>
              </w:rPr>
              <w:t>variance locus?</w:t>
            </w:r>
          </w:p>
        </w:tc>
        <w:tc>
          <w:tcPr>
            <w:tcW w:w="2790" w:type="dxa"/>
            <w:noWrap/>
            <w:vAlign w:val="center"/>
            <w:hideMark/>
          </w:tcPr>
          <w:p w14:paraId="4017DF1B" w14:textId="77777777" w:rsidR="00E830BB" w:rsidRPr="00787F83" w:rsidRDefault="00E830BB" w:rsidP="00F1071D">
            <w:pPr>
              <w:pStyle w:val="NoSpacing"/>
              <w:jc w:val="center"/>
              <w:rPr>
                <w:b/>
                <w:sz w:val="20"/>
                <w:szCs w:val="20"/>
              </w:rPr>
            </w:pPr>
            <w:r w:rsidRPr="00787F83">
              <w:rPr>
                <w:b/>
                <w:sz w:val="20"/>
                <w:szCs w:val="20"/>
              </w:rPr>
              <w:t>Additive</w:t>
            </w:r>
          </w:p>
        </w:tc>
        <w:tc>
          <w:tcPr>
            <w:tcW w:w="2880" w:type="dxa"/>
            <w:noWrap/>
            <w:vAlign w:val="center"/>
            <w:hideMark/>
          </w:tcPr>
          <w:p w14:paraId="6ED6D2D7" w14:textId="77777777" w:rsidR="00E830BB" w:rsidRPr="00787F83" w:rsidRDefault="00E830BB" w:rsidP="00F1071D">
            <w:pPr>
              <w:pStyle w:val="NoSpacing"/>
              <w:jc w:val="center"/>
              <w:rPr>
                <w:b/>
                <w:sz w:val="20"/>
                <w:szCs w:val="20"/>
              </w:rPr>
            </w:pPr>
            <w:r w:rsidRPr="00787F83">
              <w:rPr>
                <w:b/>
                <w:sz w:val="20"/>
                <w:szCs w:val="20"/>
              </w:rPr>
              <w:t>multiplicative</w:t>
            </w:r>
          </w:p>
        </w:tc>
      </w:tr>
      <w:tr w:rsidR="00E830BB" w:rsidRPr="00787F83" w14:paraId="2A9830FB" w14:textId="77777777" w:rsidTr="00F1071D">
        <w:trPr>
          <w:trHeight w:val="300"/>
        </w:trPr>
        <w:tc>
          <w:tcPr>
            <w:tcW w:w="2046" w:type="dxa"/>
            <w:vMerge w:val="restart"/>
            <w:noWrap/>
            <w:vAlign w:val="center"/>
            <w:hideMark/>
          </w:tcPr>
          <w:p w14:paraId="7E236719" w14:textId="77777777" w:rsidR="00E830BB" w:rsidRPr="00787F83" w:rsidRDefault="00E830BB" w:rsidP="00F1071D">
            <w:pPr>
              <w:pStyle w:val="NoSpacing"/>
              <w:jc w:val="center"/>
              <w:rPr>
                <w:b/>
                <w:sz w:val="20"/>
                <w:szCs w:val="20"/>
              </w:rPr>
            </w:pPr>
            <w:r w:rsidRPr="00787F83">
              <w:rPr>
                <w:b/>
                <w:sz w:val="20"/>
                <w:szCs w:val="20"/>
              </w:rPr>
              <w:t>Coexisting Environmental main effect and GxE</w:t>
            </w:r>
          </w:p>
        </w:tc>
        <w:tc>
          <w:tcPr>
            <w:tcW w:w="1639" w:type="dxa"/>
            <w:noWrap/>
            <w:vAlign w:val="center"/>
            <w:hideMark/>
          </w:tcPr>
          <w:p w14:paraId="2F372BB6" w14:textId="77777777" w:rsidR="00E830BB" w:rsidRPr="00787F83" w:rsidRDefault="00E830BB" w:rsidP="00F1071D">
            <w:pPr>
              <w:pStyle w:val="NoSpacing"/>
              <w:jc w:val="center"/>
              <w:rPr>
                <w:sz w:val="20"/>
                <w:szCs w:val="20"/>
              </w:rPr>
            </w:pPr>
            <w:r w:rsidRPr="00787F83">
              <w:rPr>
                <w:sz w:val="20"/>
                <w:szCs w:val="20"/>
              </w:rPr>
              <w:t>Yes</w:t>
            </w:r>
          </w:p>
        </w:tc>
        <w:tc>
          <w:tcPr>
            <w:tcW w:w="2790" w:type="dxa"/>
            <w:noWrap/>
            <w:vAlign w:val="center"/>
            <w:hideMark/>
          </w:tcPr>
          <w:p w14:paraId="7294A1E2" w14:textId="77777777" w:rsidR="00E830BB" w:rsidRPr="00787F83" w:rsidRDefault="007F3C26" w:rsidP="00F1071D">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00E830BB" w:rsidRPr="00787F83">
              <w:rPr>
                <w:sz w:val="20"/>
                <w:szCs w:val="20"/>
              </w:rPr>
              <w:t>,</w:t>
            </w:r>
            <m:oMath>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=1.0,</m:t>
                </m:r>
              </m:oMath>
            </m:oMathPara>
          </w:p>
          <w:p w14:paraId="4B1340DB" w14:textId="77777777" w:rsidR="00E830BB" w:rsidRPr="00787F83" w:rsidRDefault="007F3C26" w:rsidP="00F1071D">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=4.0,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3CABDECF" w14:textId="77777777" w:rsidR="00E830BB" w:rsidRPr="00787F83" w:rsidRDefault="007F3C26" w:rsidP="00F1071D">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00E830BB" w:rsidRPr="00787F83">
              <w:rPr>
                <w:sz w:val="20"/>
                <w:szCs w:val="20"/>
              </w:rPr>
              <w:t>,</w:t>
            </w:r>
            <w:r w:rsidR="00E830BB" w:rsidRPr="00787F83">
              <w:rPr>
                <w:sz w:val="20"/>
                <w:szCs w:val="20"/>
              </w:rPr>
              <w:br/>
            </w: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=1.0,β=0</m:t>
                </m:r>
              </m:oMath>
            </m:oMathPara>
          </w:p>
          <w:p w14:paraId="288F8F74" w14:textId="77777777" w:rsidR="00E830BB" w:rsidRPr="00787F83" w:rsidRDefault="00E830BB" w:rsidP="00F1071D">
            <w:pPr>
              <w:pStyle w:val="NoSpacing"/>
              <w:jc w:val="center"/>
              <w:rPr>
                <w:sz w:val="20"/>
                <w:szCs w:val="20"/>
              </w:rPr>
            </w:pPr>
            <m:oMath>
              <m:r>
                <w:rPr>
                  <w:rFonts w:ascii="Cambria Math" w:hAnsi="Cambria Math"/>
                  <w:sz w:val="20"/>
                  <w:szCs w:val="20"/>
                </w:rPr>
                <m:t>μ=0.39, α=0.08</m:t>
              </m:r>
            </m:oMath>
            <w:r w:rsidRPr="00787F83">
              <w:rPr>
                <w:sz w:val="20"/>
                <w:szCs w:val="20"/>
              </w:rPr>
              <w:t>,</w:t>
            </w:r>
          </w:p>
          <w:p w14:paraId="267F3055" w14:textId="215A2D9F" w:rsidR="00E830BB" w:rsidRPr="00787F83" w:rsidRDefault="00E830BB" w:rsidP="00F1071D">
            <w:pPr>
              <w:pStyle w:val="NoSpacing"/>
              <w:jc w:val="center"/>
              <w:rPr>
                <w:sz w:val="20"/>
                <w:szCs w:val="20"/>
              </w:rPr>
            </w:pPr>
            <w:r w:rsidRPr="00787F83">
              <w:rPr>
                <w:sz w:val="20"/>
                <w:szCs w:val="20"/>
              </w:rPr>
              <w:t xml:space="preserve">or </w:t>
            </w:r>
            <m:oMath>
              <m:r>
                <w:rPr>
                  <w:rFonts w:ascii="Cambria Math" w:hAnsi="Cambria Math"/>
                  <w:sz w:val="20"/>
                  <w:szCs w:val="20"/>
                </w:rPr>
                <m:t>μ=0.55, α=-0.08,</m:t>
              </m:r>
            </m:oMath>
          </w:p>
          <w:p w14:paraId="786DE286" w14:textId="77777777" w:rsidR="00E830BB" w:rsidRPr="00787F83" w:rsidRDefault="00E830BB" w:rsidP="00F1071D">
            <w:pPr>
              <w:pStyle w:val="NoSpacing"/>
              <w:jc w:val="center"/>
              <w:rPr>
                <w:sz w:val="20"/>
                <w:szCs w:val="20"/>
              </w:rPr>
            </w:pPr>
          </w:p>
        </w:tc>
      </w:tr>
      <w:tr w:rsidR="00E830BB" w:rsidRPr="00787F83" w14:paraId="22AF6DF3" w14:textId="77777777" w:rsidTr="00F1071D">
        <w:trPr>
          <w:trHeight w:val="300"/>
        </w:trPr>
        <w:tc>
          <w:tcPr>
            <w:tcW w:w="2046" w:type="dxa"/>
            <w:vMerge/>
            <w:noWrap/>
            <w:vAlign w:val="center"/>
            <w:hideMark/>
          </w:tcPr>
          <w:p w14:paraId="2B9BE23B" w14:textId="77777777" w:rsidR="00E830BB" w:rsidRPr="00787F83" w:rsidRDefault="00E830BB" w:rsidP="00F1071D">
            <w:pPr>
              <w:pStyle w:val="NoSpacing"/>
              <w:jc w:val="center"/>
              <w:rPr>
                <w:b/>
                <w:sz w:val="20"/>
                <w:szCs w:val="20"/>
              </w:rPr>
            </w:pPr>
          </w:p>
        </w:tc>
        <w:tc>
          <w:tcPr>
            <w:tcW w:w="1639" w:type="dxa"/>
            <w:noWrap/>
            <w:vAlign w:val="center"/>
            <w:hideMark/>
          </w:tcPr>
          <w:p w14:paraId="1642AB22" w14:textId="77777777" w:rsidR="00E830BB" w:rsidRPr="00787F83" w:rsidRDefault="00E830BB" w:rsidP="00F1071D">
            <w:pPr>
              <w:pStyle w:val="NoSpacing"/>
              <w:jc w:val="center"/>
              <w:rPr>
                <w:sz w:val="20"/>
                <w:szCs w:val="20"/>
              </w:rPr>
            </w:pPr>
            <w:r w:rsidRPr="00787F83">
              <w:rPr>
                <w:sz w:val="20"/>
                <w:szCs w:val="20"/>
              </w:rPr>
              <w:t>Null</w:t>
            </w:r>
          </w:p>
        </w:tc>
        <w:tc>
          <w:tcPr>
            <w:tcW w:w="2790" w:type="dxa"/>
            <w:noWrap/>
            <w:vAlign w:val="center"/>
            <w:hideMark/>
          </w:tcPr>
          <w:p w14:paraId="3119F194" w14:textId="77777777" w:rsidR="00F1071D" w:rsidRDefault="007F3C26" w:rsidP="00F1071D">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00F1071D">
              <w:rPr>
                <w:sz w:val="20"/>
                <w:szCs w:val="20"/>
              </w:rPr>
              <w:t>,</w:t>
            </w:r>
          </w:p>
          <w:p w14:paraId="25ED21D6" w14:textId="77777777" w:rsidR="00F1071D" w:rsidRPr="00F1071D" w:rsidRDefault="007F3C26" w:rsidP="00F1071D">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=0.0,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=0.5,</m:t>
                </m:r>
              </m:oMath>
            </m:oMathPara>
          </w:p>
          <w:p w14:paraId="5B9361BD" w14:textId="45C4B1FD" w:rsidR="00E830BB" w:rsidRPr="00787F83" w:rsidRDefault="007F3C26" w:rsidP="00F1071D">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=4.0,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40197CFB" w14:textId="77777777" w:rsidR="00E830BB" w:rsidRPr="00787F83" w:rsidRDefault="007F3C26" w:rsidP="00F1071D">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00E830BB" w:rsidRPr="00787F83">
              <w:rPr>
                <w:sz w:val="20"/>
                <w:szCs w:val="20"/>
              </w:rPr>
              <w:t>,</w:t>
            </w:r>
            <w:r w:rsidR="00E830BB" w:rsidRPr="00787F83">
              <w:rPr>
                <w:sz w:val="20"/>
                <w:szCs w:val="20"/>
              </w:rPr>
              <w:br/>
            </w: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=1.0,β=0</m:t>
                </m:r>
              </m:oMath>
            </m:oMathPara>
          </w:p>
          <w:p w14:paraId="2CDC838C" w14:textId="77777777" w:rsidR="00E830BB" w:rsidRPr="00787F83" w:rsidRDefault="00E830BB" w:rsidP="00F1071D">
            <w:pPr>
              <w:pStyle w:val="NoSpacing"/>
              <w:jc w:val="center"/>
              <w:rPr>
                <w:sz w:val="20"/>
                <w:szCs w:val="20"/>
              </w:rPr>
            </w:pPr>
            <m:oMathPara>
              <m:oMath>
                <m:r>
                  <w:rPr>
                    <w:rFonts w:ascii="Cambria Math" w:hAnsi="Cambria Math"/>
                    <w:sz w:val="20"/>
                    <w:szCs w:val="20"/>
                  </w:rPr>
                  <m:t>μ=0.39, α=0.0</m:t>
                </m:r>
              </m:oMath>
            </m:oMathPara>
          </w:p>
        </w:tc>
      </w:tr>
      <w:tr w:rsidR="00E830BB" w:rsidRPr="00787F83" w14:paraId="6F7FF4E9" w14:textId="77777777" w:rsidTr="00F1071D">
        <w:trPr>
          <w:trHeight w:val="300"/>
        </w:trPr>
        <w:tc>
          <w:tcPr>
            <w:tcW w:w="2046" w:type="dxa"/>
            <w:vMerge w:val="restart"/>
            <w:noWrap/>
            <w:vAlign w:val="center"/>
            <w:hideMark/>
          </w:tcPr>
          <w:p w14:paraId="3F19BFD2" w14:textId="77777777" w:rsidR="00E830BB" w:rsidRPr="00787F83" w:rsidRDefault="00E830BB" w:rsidP="00F1071D">
            <w:pPr>
              <w:pStyle w:val="NoSpacing"/>
              <w:jc w:val="center"/>
              <w:rPr>
                <w:b/>
                <w:sz w:val="20"/>
                <w:szCs w:val="20"/>
              </w:rPr>
            </w:pPr>
            <w:r w:rsidRPr="00787F83">
              <w:rPr>
                <w:b/>
                <w:sz w:val="20"/>
                <w:szCs w:val="20"/>
              </w:rPr>
              <w:t>purely GxE</w:t>
            </w:r>
          </w:p>
        </w:tc>
        <w:tc>
          <w:tcPr>
            <w:tcW w:w="1639" w:type="dxa"/>
            <w:noWrap/>
            <w:vAlign w:val="center"/>
            <w:hideMark/>
          </w:tcPr>
          <w:p w14:paraId="59E0AC23" w14:textId="77777777" w:rsidR="00E830BB" w:rsidRPr="00787F83" w:rsidRDefault="00E830BB" w:rsidP="00F1071D">
            <w:pPr>
              <w:pStyle w:val="NoSpacing"/>
              <w:jc w:val="center"/>
              <w:rPr>
                <w:sz w:val="20"/>
                <w:szCs w:val="20"/>
              </w:rPr>
            </w:pPr>
            <w:r w:rsidRPr="00787F83">
              <w:rPr>
                <w:sz w:val="20"/>
                <w:szCs w:val="20"/>
              </w:rPr>
              <w:t>Yes</w:t>
            </w:r>
          </w:p>
        </w:tc>
        <w:tc>
          <w:tcPr>
            <w:tcW w:w="2790" w:type="dxa"/>
            <w:noWrap/>
            <w:vAlign w:val="center"/>
            <w:hideMark/>
          </w:tcPr>
          <w:p w14:paraId="071BFD96" w14:textId="77777777" w:rsidR="00F1071D" w:rsidRDefault="007F3C26" w:rsidP="00F1071D">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00E830BB" w:rsidRPr="00787F83">
              <w:rPr>
                <w:sz w:val="20"/>
                <w:szCs w:val="20"/>
              </w:rPr>
              <w:t>,</w:t>
            </w:r>
          </w:p>
          <w:p w14:paraId="62470058" w14:textId="77777777" w:rsidR="00F1071D" w:rsidRPr="00F1071D" w:rsidRDefault="007F3C26" w:rsidP="00F1071D">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=0.0,</m:t>
                </m:r>
              </m:oMath>
            </m:oMathPara>
          </w:p>
          <w:p w14:paraId="1B38942F" w14:textId="405043D4" w:rsidR="00E830BB" w:rsidRPr="00787F83" w:rsidRDefault="007F3C26" w:rsidP="00F1071D">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=4.0,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64997DE7" w14:textId="77777777" w:rsidR="00E830BB" w:rsidRPr="00787F83" w:rsidRDefault="00E830BB" w:rsidP="00F1071D">
            <w:pPr>
              <w:pStyle w:val="NoSpacing"/>
              <w:jc w:val="center"/>
              <w:rPr>
                <w:sz w:val="20"/>
                <w:szCs w:val="20"/>
              </w:rPr>
            </w:pPr>
            <w:r w:rsidRPr="00787F83">
              <w:rPr>
                <w:sz w:val="20"/>
                <w:szCs w:val="20"/>
              </w:rPr>
              <w:t>(Not simulated)</w:t>
            </w:r>
          </w:p>
        </w:tc>
      </w:tr>
      <w:tr w:rsidR="00E830BB" w:rsidRPr="00787F83" w14:paraId="1C6A1EA5" w14:textId="77777777" w:rsidTr="00F1071D">
        <w:trPr>
          <w:trHeight w:val="300"/>
        </w:trPr>
        <w:tc>
          <w:tcPr>
            <w:tcW w:w="2046" w:type="dxa"/>
            <w:vMerge/>
            <w:noWrap/>
            <w:vAlign w:val="center"/>
            <w:hideMark/>
          </w:tcPr>
          <w:p w14:paraId="1AE3815D" w14:textId="77777777" w:rsidR="00E830BB" w:rsidRPr="00787F83" w:rsidRDefault="00E830BB" w:rsidP="00F1071D">
            <w:pPr>
              <w:pStyle w:val="NoSpacing"/>
              <w:jc w:val="center"/>
              <w:rPr>
                <w:sz w:val="20"/>
                <w:szCs w:val="20"/>
              </w:rPr>
            </w:pPr>
          </w:p>
        </w:tc>
        <w:tc>
          <w:tcPr>
            <w:tcW w:w="1639" w:type="dxa"/>
            <w:noWrap/>
            <w:vAlign w:val="center"/>
            <w:hideMark/>
          </w:tcPr>
          <w:p w14:paraId="24E683DC" w14:textId="77777777" w:rsidR="00E830BB" w:rsidRPr="00787F83" w:rsidRDefault="00E830BB" w:rsidP="00F1071D">
            <w:pPr>
              <w:pStyle w:val="NoSpacing"/>
              <w:jc w:val="center"/>
              <w:rPr>
                <w:sz w:val="20"/>
                <w:szCs w:val="20"/>
              </w:rPr>
            </w:pPr>
            <w:r w:rsidRPr="00787F83">
              <w:rPr>
                <w:sz w:val="20"/>
                <w:szCs w:val="20"/>
              </w:rPr>
              <w:t>Null</w:t>
            </w:r>
          </w:p>
        </w:tc>
        <w:tc>
          <w:tcPr>
            <w:tcW w:w="2790" w:type="dxa"/>
            <w:noWrap/>
            <w:vAlign w:val="center"/>
            <w:hideMark/>
          </w:tcPr>
          <w:p w14:paraId="66DFFD43" w14:textId="77777777" w:rsidR="00F1071D" w:rsidRDefault="007F3C26" w:rsidP="00F1071D">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00E830BB" w:rsidRPr="00787F83">
              <w:rPr>
                <w:sz w:val="20"/>
                <w:szCs w:val="20"/>
              </w:rPr>
              <w:t>,</w:t>
            </w:r>
          </w:p>
          <w:p w14:paraId="234A0AFC" w14:textId="77777777" w:rsidR="00F1071D" w:rsidRPr="00F1071D" w:rsidRDefault="007F3C26" w:rsidP="00F1071D">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=0.0,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=0.0,</m:t>
                </m:r>
              </m:oMath>
            </m:oMathPara>
          </w:p>
          <w:p w14:paraId="3A5D55CE" w14:textId="2E76EC0A" w:rsidR="00E830BB" w:rsidRPr="00787F83" w:rsidRDefault="007F3C26" w:rsidP="00F1071D">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=4.0,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29B1933C" w14:textId="77777777" w:rsidR="00E830BB" w:rsidRPr="00787F83" w:rsidRDefault="00E830BB" w:rsidP="00F1071D">
            <w:pPr>
              <w:pStyle w:val="NoSpacing"/>
              <w:jc w:val="center"/>
              <w:rPr>
                <w:sz w:val="20"/>
                <w:szCs w:val="20"/>
              </w:rPr>
            </w:pPr>
            <w:r w:rsidRPr="00787F83">
              <w:rPr>
                <w:sz w:val="20"/>
                <w:szCs w:val="20"/>
              </w:rPr>
              <w:t>(Not simulated)</w:t>
            </w:r>
          </w:p>
        </w:tc>
      </w:tr>
    </w:tbl>
    <w:p w14:paraId="2E265C1C" w14:textId="77777777" w:rsidR="00E830BB" w:rsidRDefault="00E830BB" w:rsidP="00E830BB">
      <w:r>
        <w:t xml:space="preserve">A total of 18 scenarios were simulated, which is three times of the Gaussian phenotypes because we varied the ground mean </w:t>
      </w:r>
      <m:oMath>
        <m:sSub>
          <m:sSubPr>
            <m:ctrlPr>
              <w:rPr>
                <w:rFonts w:ascii="Cambria Math" w:hAnsi="Cambria Math"/>
                <w:bCs/>
                <w:i/>
              </w:rPr>
            </m:ctrlPr>
          </m:sSubPr>
          <m:e>
            <m:r>
              <w:rPr>
                <w:rFonts w:ascii="Cambria Math" w:hAnsi="Cambria Math"/>
              </w:rPr>
              <m:t>m</m:t>
            </m:r>
          </m:e>
          <m:sub>
            <m:r>
              <w:rPr>
                <w:rFonts w:ascii="Cambria Math" w:hAnsi="Cambria Math"/>
              </w:rPr>
              <m:t>0</m:t>
            </m:r>
          </m:sub>
        </m:sSub>
      </m:oMath>
      <w:r>
        <w:rPr>
          <w:bCs/>
        </w:rPr>
        <w:t xml:space="preserve"> in </w:t>
      </w:r>
      <m:oMath>
        <m:d>
          <m:dPr>
            <m:begChr m:val="{"/>
            <m:endChr m:val="}"/>
            <m:ctrlPr>
              <w:rPr>
                <w:rFonts w:ascii="Cambria Math" w:hAnsi="Cambria Math"/>
                <w:i/>
              </w:rPr>
            </m:ctrlPr>
          </m:dPr>
          <m:e>
            <m:r>
              <w:rPr>
                <w:rFonts w:ascii="Cambria Math" w:hAnsi="Cambria Math"/>
              </w:rPr>
              <m:t>0, -1.25, -2.5</m:t>
            </m:r>
          </m:e>
        </m:d>
      </m:oMath>
      <w:r>
        <w:t xml:space="preserve"> to create imbalanced case / control ratio. </w:t>
      </w:r>
      <w:r>
        <w:rPr>
          <w:bCs/>
        </w:rPr>
        <w:t xml:space="preserve">In addition, we simulated another set of 18 </w:t>
      </w:r>
      <w:r>
        <w:t>scenarios for binary phenotype where the covariate effects were nullified.</w:t>
      </w:r>
    </w:p>
    <w:p w14:paraId="10A8728B" w14:textId="3AF99C0F" w:rsidR="00E830BB" w:rsidRDefault="00994789" w:rsidP="00E830BB">
      <w:pPr>
        <w:pStyle w:val="Heading2"/>
      </w:pPr>
      <w:r>
        <w:t xml:space="preserve">Scenarios involving </w:t>
      </w:r>
      <w:r w:rsidR="00E830BB">
        <w:t>Poisson Phenotypes</w:t>
      </w:r>
    </w:p>
    <w:p w14:paraId="293F0634" w14:textId="77777777" w:rsidR="00E830BB" w:rsidRDefault="00E830BB" w:rsidP="00E830BB">
      <w:r>
        <w:t xml:space="preserve">In a similar fashion, we simulated Poisson phenotype </w:t>
      </w:r>
      <w:r w:rsidRPr="00135B03">
        <w:rPr>
          <w:rFonts w:ascii="Cambria Math" w:hAnsi="Cambria Math"/>
          <w:i/>
          <w:iCs/>
        </w:rPr>
        <w:t xml:space="preserve"> </w:t>
      </w:r>
      <m:oMath>
        <m:r>
          <m:rPr>
            <m:sty m:val="bi"/>
          </m:rPr>
          <w:rPr>
            <w:rFonts w:ascii="Cambria Math" w:hAnsi="Cambria Math"/>
          </w:rPr>
          <m:t>y</m:t>
        </m:r>
      </m:oMath>
      <w:r>
        <w:t xml:space="preserve"> by passing the Gaussian signal </w:t>
      </w:r>
      <m:oMath>
        <m:r>
          <m:rPr>
            <m:sty m:val="bi"/>
          </m:rPr>
          <w:rPr>
            <w:rFonts w:ascii="Cambria Math" w:hAnsi="Cambria Math"/>
          </w:rPr>
          <m:t>η</m:t>
        </m:r>
      </m:oMath>
      <w:r w:rsidRPr="00EF1929">
        <w:t xml:space="preserve"> </w:t>
      </w:r>
      <w:r>
        <w:t xml:space="preserve">into exponent function for a rate value, then drew counts from Poisson distribution of the said rate. </w:t>
      </w:r>
    </w:p>
    <w:p w14:paraId="71DDCC35" w14:textId="737BF543" w:rsidR="00E830BB" w:rsidRDefault="007F3C26" w:rsidP="00E830BB">
      <w:pPr>
        <w:rPr>
          <w:rFonts w:ascii="Cambria Math" w:hAnsi="Cambria Math"/>
          <w:iCs/>
        </w:rPr>
      </w:pPr>
      <m:oMathPara>
        <m:oMath>
          <m:sSub>
            <m:sSubPr>
              <m:ctrlPr>
                <w:rPr>
                  <w:rFonts w:ascii="Cambria Math" w:hAnsi="Cambria Math"/>
                  <w:i/>
                  <w:iCs/>
                </w:rPr>
              </m:ctrlPr>
            </m:sSubPr>
            <m:e>
              <m:r>
                <w:rPr>
                  <w:rFonts w:ascii="Cambria Math" w:hAnsi="Cambria Math"/>
                </w:rPr>
                <m:t>y</m:t>
              </m:r>
            </m:e>
            <m:sub>
              <m:r>
                <w:rPr>
                  <w:rFonts w:ascii="Cambria Math" w:hAnsi="Cambria Math"/>
                </w:rPr>
                <m:t>i</m:t>
              </m:r>
            </m:sub>
          </m:sSub>
          <m:r>
            <w:rPr>
              <w:rFonts w:ascii="Cambria Math" w:hAnsi="Cambria Math"/>
            </w:rPr>
            <m:t>~</m:t>
          </m:r>
          <m:r>
            <m:rPr>
              <m:sty m:val="p"/>
            </m:rPr>
            <w:rPr>
              <w:rFonts w:ascii="Cambria Math" w:hAnsi="Cambria Math"/>
            </w:rPr>
            <m:t>Poisson</m:t>
          </m:r>
          <m:d>
            <m:dPr>
              <m:ctrlPr>
                <w:rPr>
                  <w:rFonts w:ascii="Cambria Math" w:hAnsi="Cambria Math"/>
                  <w:i/>
                  <w:iCs/>
                </w:rPr>
              </m:ctrlPr>
            </m:dPr>
            <m:e>
              <m:sSub>
                <m:sSubPr>
                  <m:ctrlPr>
                    <w:rPr>
                      <w:rFonts w:ascii="Cambria Math" w:hAnsi="Cambria Math"/>
                      <w:i/>
                      <w:iCs/>
                    </w:rPr>
                  </m:ctrlPr>
                </m:sSubPr>
                <m:e>
                  <m:r>
                    <w:rPr>
                      <w:rFonts w:ascii="Cambria Math" w:hAnsi="Cambria Math"/>
                    </w:rPr>
                    <m:t>λ</m:t>
                  </m:r>
                </m:e>
                <m:sub>
                  <m:r>
                    <w:rPr>
                      <w:rFonts w:ascii="Cambria Math" w:hAnsi="Cambria Math"/>
                    </w:rPr>
                    <m:t>i</m:t>
                  </m:r>
                </m:sub>
              </m:sSub>
            </m:e>
          </m:d>
          <m:r>
            <w:rPr>
              <w:rFonts w:ascii="Cambria Math" w:hAnsi="Cambria Math"/>
            </w:rPr>
            <m:t xml:space="preserve">,  </m:t>
          </m:r>
          <m:sSub>
            <m:sSubPr>
              <m:ctrlPr>
                <w:rPr>
                  <w:rFonts w:ascii="Cambria Math" w:hAnsi="Cambria Math"/>
                  <w:bCs/>
                  <w:i/>
                </w:rPr>
              </m:ctrlPr>
            </m:sSubPr>
            <m:e>
              <m:r>
                <w:rPr>
                  <w:rFonts w:ascii="Cambria Math" w:hAnsi="Cambria Math"/>
                </w:rPr>
                <m:t>λ</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η</m:t>
                  </m:r>
                </m:e>
                <m:sub>
                  <m:r>
                    <w:rPr>
                      <w:rFonts w:ascii="Cambria Math" w:hAnsi="Cambria Math"/>
                    </w:rPr>
                    <m:t>i</m:t>
                  </m:r>
                </m:sub>
              </m:sSub>
            </m:sup>
          </m:sSup>
          <m:r>
            <w:rPr>
              <w:rFonts w:ascii="Cambria Math" w:hAnsi="Cambria Math"/>
            </w:rPr>
            <m:t>,  i=1…N</m:t>
          </m:r>
        </m:oMath>
      </m:oMathPara>
    </w:p>
    <w:p w14:paraId="64F00CDB" w14:textId="06B8F861" w:rsidR="00E830BB" w:rsidRDefault="00E830BB" w:rsidP="00E830BB">
      <w:pPr>
        <w:rPr>
          <w:bCs/>
        </w:rPr>
      </w:pPr>
      <w:r>
        <w:rPr>
          <w:bCs/>
        </w:rPr>
        <w:t xml:space="preserve">In this case, the grand mean </w:t>
      </w:r>
      <m:oMath>
        <m:sSub>
          <m:sSubPr>
            <m:ctrlPr>
              <w:rPr>
                <w:rFonts w:ascii="Cambria Math" w:hAnsi="Cambria Math"/>
                <w:bCs/>
                <w:i/>
              </w:rPr>
            </m:ctrlPr>
          </m:sSubPr>
          <m:e>
            <m:r>
              <w:rPr>
                <w:rFonts w:ascii="Cambria Math" w:hAnsi="Cambria Math"/>
              </w:rPr>
              <m:t>m</m:t>
            </m:r>
          </m:e>
          <m:sub>
            <m:r>
              <w:rPr>
                <w:rFonts w:ascii="Cambria Math" w:hAnsi="Cambria Math"/>
              </w:rPr>
              <m:t>0</m:t>
            </m:r>
          </m:sub>
        </m:sSub>
      </m:oMath>
      <w:r>
        <w:rPr>
          <w:bCs/>
        </w:rPr>
        <w:t xml:space="preserve"> of </w:t>
      </w:r>
      <w:r w:rsidR="005240B9">
        <w:rPr>
          <w:bCs/>
        </w:rPr>
        <w:t xml:space="preserve">the Gaussian </w:t>
      </w:r>
      <w:r>
        <w:t xml:space="preserve">signal </w:t>
      </w:r>
      <m:oMath>
        <m:r>
          <m:rPr>
            <m:sty m:val="bi"/>
          </m:rPr>
          <w:rPr>
            <w:rFonts w:ascii="Cambria Math" w:hAnsi="Cambria Math"/>
          </w:rPr>
          <m:t>η</m:t>
        </m:r>
      </m:oMath>
      <w:r>
        <w:rPr>
          <w:bCs/>
        </w:rPr>
        <w:t xml:space="preserve"> </w:t>
      </w:r>
      <w:r w:rsidRPr="00784F33">
        <w:rPr>
          <w:bCs/>
        </w:rPr>
        <w:t>determines the proportion of zeros</w:t>
      </w:r>
      <w:r>
        <w:rPr>
          <w:bCs/>
        </w:rPr>
        <w:t xml:space="preserve"> in the converted count</w:t>
      </w:r>
      <w:r w:rsidR="007F3C26">
        <w:rPr>
          <w:bCs/>
        </w:rPr>
        <w:t>s</w:t>
      </w:r>
      <w:r>
        <w:rPr>
          <w:bCs/>
        </w:rPr>
        <w:t xml:space="preserve">, where </w:t>
      </w: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=0</m:t>
        </m:r>
      </m:oMath>
      <w:r>
        <w:rPr>
          <w:bCs/>
        </w:rPr>
        <w:t xml:space="preserve"> gives in 37% zeros, </w:t>
      </w: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m:t>
        </m:r>
      </m:oMath>
      <w:r>
        <w:rPr>
          <w:bCs/>
        </w:rPr>
        <w:t xml:space="preserve">-1.25 gives 75%, and </w:t>
      </w:r>
      <m:oMath>
        <m:sSub>
          <m:sSubPr>
            <m:ctrlPr>
              <w:rPr>
                <w:rFonts w:ascii="Cambria Math" w:hAnsi="Cambria Math"/>
                <w:bCs/>
                <w:i/>
              </w:rPr>
            </m:ctrlPr>
          </m:sSubPr>
          <m:e>
            <m:r>
              <w:rPr>
                <w:rFonts w:ascii="Cambria Math" w:hAnsi="Cambria Math"/>
              </w:rPr>
              <m:t>m</m:t>
            </m:r>
          </m:e>
          <m:sub>
            <m:r>
              <w:rPr>
                <w:rFonts w:ascii="Cambria Math" w:hAnsi="Cambria Math"/>
              </w:rPr>
              <m:t>0</m:t>
            </m:r>
          </m:sub>
        </m:sSub>
        <m:r>
          <w:rPr>
            <w:rFonts w:ascii="Cambria Math" w:hAnsi="Cambria Math"/>
          </w:rPr>
          <m:t>=-2.5</m:t>
        </m:r>
      </m:oMath>
      <w:r>
        <w:rPr>
          <w:bCs/>
        </w:rPr>
        <w:t xml:space="preserve"> gives 92%.</w:t>
      </w:r>
    </w:p>
    <w:p w14:paraId="682A1448" w14:textId="77777777" w:rsidR="00E830BB" w:rsidRDefault="00E830BB" w:rsidP="00E830BB">
      <w:pPr>
        <w:rPr>
          <w:bCs/>
        </w:rPr>
      </w:pPr>
      <w:r>
        <w:rPr>
          <w:bCs/>
        </w:rPr>
        <w:t>We kept the simulation parameters the same with binary case but reduced the size of covariate effect to 3.0. The simulation parameters are shown below</w:t>
      </w:r>
    </w:p>
    <w:tbl>
      <w:tblPr>
        <w:tblStyle w:val="TableGrid"/>
        <w:tblW w:w="9355" w:type="dxa"/>
        <w:tblLook w:val="04A0" w:firstRow="1" w:lastRow="0" w:firstColumn="1" w:lastColumn="0" w:noHBand="0" w:noVBand="1"/>
      </w:tblPr>
      <w:tblGrid>
        <w:gridCol w:w="2046"/>
        <w:gridCol w:w="1639"/>
        <w:gridCol w:w="2790"/>
        <w:gridCol w:w="2880"/>
      </w:tblGrid>
      <w:tr w:rsidR="00E830BB" w:rsidRPr="00BF1ADC" w14:paraId="3BBCAA58" w14:textId="77777777" w:rsidTr="0064621C">
        <w:trPr>
          <w:trHeight w:val="20"/>
        </w:trPr>
        <w:tc>
          <w:tcPr>
            <w:tcW w:w="2046" w:type="dxa"/>
            <w:noWrap/>
            <w:vAlign w:val="center"/>
            <w:hideMark/>
          </w:tcPr>
          <w:p w14:paraId="31590F7C" w14:textId="77777777" w:rsidR="00E830BB" w:rsidRPr="0064621C" w:rsidRDefault="00E830BB" w:rsidP="0064621C">
            <w:pPr>
              <w:pStyle w:val="NoSpacing"/>
              <w:jc w:val="center"/>
              <w:rPr>
                <w:b/>
                <w:bCs/>
                <w:sz w:val="20"/>
                <w:szCs w:val="20"/>
              </w:rPr>
            </w:pPr>
            <w:r w:rsidRPr="0064621C">
              <w:rPr>
                <w:b/>
                <w:bCs/>
                <w:sz w:val="20"/>
                <w:szCs w:val="20"/>
              </w:rPr>
              <w:t>Poisson Phenotype</w:t>
            </w:r>
          </w:p>
        </w:tc>
        <w:tc>
          <w:tcPr>
            <w:tcW w:w="1639" w:type="dxa"/>
            <w:noWrap/>
            <w:vAlign w:val="center"/>
            <w:hideMark/>
          </w:tcPr>
          <w:p w14:paraId="40B3CF27" w14:textId="77777777" w:rsidR="00E830BB" w:rsidRPr="00BF1ADC" w:rsidRDefault="00E830BB" w:rsidP="0064621C">
            <w:pPr>
              <w:pStyle w:val="NoSpacing"/>
              <w:jc w:val="center"/>
              <w:rPr>
                <w:b/>
                <w:sz w:val="20"/>
                <w:szCs w:val="20"/>
              </w:rPr>
            </w:pPr>
            <w:r w:rsidRPr="00BF1ADC">
              <w:rPr>
                <w:b/>
                <w:sz w:val="20"/>
                <w:szCs w:val="20"/>
              </w:rPr>
              <w:t>variance locus?</w:t>
            </w:r>
          </w:p>
        </w:tc>
        <w:tc>
          <w:tcPr>
            <w:tcW w:w="2790" w:type="dxa"/>
            <w:noWrap/>
            <w:vAlign w:val="center"/>
            <w:hideMark/>
          </w:tcPr>
          <w:p w14:paraId="4D1EF378" w14:textId="77777777" w:rsidR="00E830BB" w:rsidRPr="00BF1ADC" w:rsidRDefault="00E830BB" w:rsidP="0064621C">
            <w:pPr>
              <w:pStyle w:val="NoSpacing"/>
              <w:jc w:val="center"/>
              <w:rPr>
                <w:b/>
                <w:sz w:val="20"/>
                <w:szCs w:val="20"/>
              </w:rPr>
            </w:pPr>
            <w:r w:rsidRPr="00BF1ADC">
              <w:rPr>
                <w:b/>
                <w:sz w:val="20"/>
                <w:szCs w:val="20"/>
              </w:rPr>
              <w:t>Additive</w:t>
            </w:r>
          </w:p>
        </w:tc>
        <w:tc>
          <w:tcPr>
            <w:tcW w:w="2880" w:type="dxa"/>
            <w:noWrap/>
            <w:vAlign w:val="center"/>
            <w:hideMark/>
          </w:tcPr>
          <w:p w14:paraId="376F1670" w14:textId="77777777" w:rsidR="00E830BB" w:rsidRPr="00BF1ADC" w:rsidRDefault="00E830BB" w:rsidP="0064621C">
            <w:pPr>
              <w:pStyle w:val="NoSpacing"/>
              <w:jc w:val="center"/>
              <w:rPr>
                <w:b/>
                <w:sz w:val="20"/>
                <w:szCs w:val="20"/>
              </w:rPr>
            </w:pPr>
            <w:r w:rsidRPr="00BF1ADC">
              <w:rPr>
                <w:b/>
                <w:sz w:val="20"/>
                <w:szCs w:val="20"/>
              </w:rPr>
              <w:t>multiplicative</w:t>
            </w:r>
          </w:p>
        </w:tc>
      </w:tr>
      <w:tr w:rsidR="0064621C" w:rsidRPr="00BF1ADC" w14:paraId="0C0F80E0" w14:textId="77777777" w:rsidTr="0064621C">
        <w:trPr>
          <w:trHeight w:val="20"/>
        </w:trPr>
        <w:tc>
          <w:tcPr>
            <w:tcW w:w="2046" w:type="dxa"/>
            <w:vMerge w:val="restart"/>
            <w:noWrap/>
            <w:vAlign w:val="center"/>
            <w:hideMark/>
          </w:tcPr>
          <w:p w14:paraId="4FDFBBC6" w14:textId="5CFF0F93" w:rsidR="0064621C" w:rsidRPr="00BF1ADC" w:rsidRDefault="0064621C" w:rsidP="0064621C">
            <w:pPr>
              <w:pStyle w:val="NoSpacing"/>
              <w:jc w:val="center"/>
              <w:rPr>
                <w:b/>
                <w:sz w:val="20"/>
                <w:szCs w:val="20"/>
              </w:rPr>
            </w:pPr>
            <w:r w:rsidRPr="00787F83">
              <w:rPr>
                <w:b/>
                <w:sz w:val="20"/>
                <w:szCs w:val="20"/>
              </w:rPr>
              <w:t>Coexisting Environmental main effect and GxE</w:t>
            </w:r>
          </w:p>
        </w:tc>
        <w:tc>
          <w:tcPr>
            <w:tcW w:w="1639" w:type="dxa"/>
            <w:noWrap/>
            <w:vAlign w:val="center"/>
            <w:hideMark/>
          </w:tcPr>
          <w:p w14:paraId="5533718C" w14:textId="77777777" w:rsidR="0064621C" w:rsidRPr="00BF1ADC" w:rsidRDefault="0064621C" w:rsidP="0064621C">
            <w:pPr>
              <w:pStyle w:val="NoSpacing"/>
              <w:jc w:val="center"/>
              <w:rPr>
                <w:sz w:val="20"/>
                <w:szCs w:val="20"/>
              </w:rPr>
            </w:pPr>
            <w:r w:rsidRPr="00BF1ADC">
              <w:rPr>
                <w:sz w:val="20"/>
                <w:szCs w:val="20"/>
              </w:rPr>
              <w:t>Yes</w:t>
            </w:r>
          </w:p>
        </w:tc>
        <w:tc>
          <w:tcPr>
            <w:tcW w:w="2790" w:type="dxa"/>
            <w:noWrap/>
            <w:vAlign w:val="center"/>
            <w:hideMark/>
          </w:tcPr>
          <w:p w14:paraId="65F728B7" w14:textId="77777777" w:rsidR="0064621C" w:rsidRPr="00B10E4A" w:rsidRDefault="0064621C" w:rsidP="0064621C">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Pr="00BF1ADC">
              <w:rPr>
                <w:sz w:val="20"/>
                <w:szCs w:val="20"/>
              </w:rPr>
              <w:t>,</w:t>
            </w:r>
            <m:oMath>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=1.0,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=0.5,</m:t>
                </m:r>
              </m:oMath>
            </m:oMathPara>
          </w:p>
          <w:p w14:paraId="2A97E341" w14:textId="25F5E8F8" w:rsidR="0064621C" w:rsidRPr="00BF1ADC" w:rsidRDefault="0064621C"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=3.0,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5207D53B" w14:textId="77777777" w:rsidR="0064621C" w:rsidRPr="003510DA" w:rsidRDefault="0064621C"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r>
                  <w:rPr>
                    <w:rFonts w:ascii="Cambria Math" w:hAnsi="Cambria Math"/>
                    <w:sz w:val="20"/>
                    <w:szCs w:val="20"/>
                  </w:rPr>
                  <m:t>,</m:t>
                </m:r>
              </m:oMath>
            </m:oMathPara>
          </w:p>
          <w:p w14:paraId="08546922" w14:textId="05874F31" w:rsidR="0064621C" w:rsidRPr="003510DA" w:rsidRDefault="0064621C"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=1.0,β=0,</m:t>
                </m:r>
              </m:oMath>
            </m:oMathPara>
          </w:p>
          <w:p w14:paraId="7760AF26" w14:textId="218BB967" w:rsidR="0064621C" w:rsidRDefault="0064621C" w:rsidP="0064621C">
            <w:pPr>
              <w:pStyle w:val="NoSpacing"/>
              <w:jc w:val="center"/>
              <w:rPr>
                <w:sz w:val="20"/>
                <w:szCs w:val="20"/>
              </w:rPr>
            </w:pPr>
            <m:oMath>
              <m:r>
                <w:rPr>
                  <w:rFonts w:ascii="Cambria Math" w:hAnsi="Cambria Math"/>
                  <w:sz w:val="20"/>
                  <w:szCs w:val="20"/>
                </w:rPr>
                <m:t>μ=0.39, α=0.08</m:t>
              </m:r>
            </m:oMath>
            <w:r w:rsidRPr="00BF1ADC">
              <w:rPr>
                <w:sz w:val="20"/>
                <w:szCs w:val="20"/>
              </w:rPr>
              <w:t>,</w:t>
            </w:r>
          </w:p>
          <w:p w14:paraId="41787E68" w14:textId="7DBDD9FD" w:rsidR="0064621C" w:rsidRPr="00BF1ADC" w:rsidRDefault="0064621C" w:rsidP="0064621C">
            <w:pPr>
              <w:pStyle w:val="NoSpacing"/>
              <w:jc w:val="center"/>
              <w:rPr>
                <w:sz w:val="20"/>
                <w:szCs w:val="20"/>
              </w:rPr>
            </w:pPr>
            <w:r w:rsidRPr="00BF1ADC">
              <w:rPr>
                <w:sz w:val="20"/>
                <w:szCs w:val="20"/>
              </w:rPr>
              <w:t xml:space="preserve">or </w:t>
            </w:r>
            <m:oMath>
              <m:r>
                <w:rPr>
                  <w:rFonts w:ascii="Cambria Math" w:hAnsi="Cambria Math"/>
                  <w:sz w:val="20"/>
                  <w:szCs w:val="20"/>
                </w:rPr>
                <m:t>μ=0.55, α=-0.08,</m:t>
              </m:r>
            </m:oMath>
          </w:p>
          <w:p w14:paraId="469638D8" w14:textId="77777777" w:rsidR="0064621C" w:rsidRPr="00BF1ADC" w:rsidRDefault="0064621C" w:rsidP="0064621C">
            <w:pPr>
              <w:pStyle w:val="NoSpacing"/>
              <w:jc w:val="center"/>
              <w:rPr>
                <w:sz w:val="20"/>
                <w:szCs w:val="20"/>
              </w:rPr>
            </w:pPr>
          </w:p>
        </w:tc>
      </w:tr>
      <w:tr w:rsidR="0064621C" w:rsidRPr="00BF1ADC" w14:paraId="0CA24C5E" w14:textId="77777777" w:rsidTr="0064621C">
        <w:trPr>
          <w:trHeight w:val="20"/>
        </w:trPr>
        <w:tc>
          <w:tcPr>
            <w:tcW w:w="2046" w:type="dxa"/>
            <w:vMerge/>
            <w:noWrap/>
            <w:vAlign w:val="center"/>
            <w:hideMark/>
          </w:tcPr>
          <w:p w14:paraId="49CFD303" w14:textId="77777777" w:rsidR="0064621C" w:rsidRPr="00BF1ADC" w:rsidRDefault="0064621C" w:rsidP="0064621C">
            <w:pPr>
              <w:pStyle w:val="NoSpacing"/>
              <w:jc w:val="center"/>
              <w:rPr>
                <w:b/>
                <w:sz w:val="20"/>
                <w:szCs w:val="20"/>
              </w:rPr>
            </w:pPr>
          </w:p>
        </w:tc>
        <w:tc>
          <w:tcPr>
            <w:tcW w:w="1639" w:type="dxa"/>
            <w:noWrap/>
            <w:vAlign w:val="center"/>
            <w:hideMark/>
          </w:tcPr>
          <w:p w14:paraId="44DEF86D" w14:textId="77777777" w:rsidR="0064621C" w:rsidRPr="00BF1ADC" w:rsidRDefault="0064621C" w:rsidP="0064621C">
            <w:pPr>
              <w:pStyle w:val="NoSpacing"/>
              <w:jc w:val="center"/>
              <w:rPr>
                <w:sz w:val="20"/>
                <w:szCs w:val="20"/>
              </w:rPr>
            </w:pPr>
            <w:r w:rsidRPr="00BF1ADC">
              <w:rPr>
                <w:sz w:val="20"/>
                <w:szCs w:val="20"/>
              </w:rPr>
              <w:t>Null</w:t>
            </w:r>
          </w:p>
        </w:tc>
        <w:tc>
          <w:tcPr>
            <w:tcW w:w="2790" w:type="dxa"/>
            <w:noWrap/>
            <w:vAlign w:val="center"/>
            <w:hideMark/>
          </w:tcPr>
          <w:p w14:paraId="76927FA5" w14:textId="77777777" w:rsidR="0064621C" w:rsidRPr="00B10E4A" w:rsidRDefault="0064621C" w:rsidP="0064621C">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Pr="00BF1ADC">
              <w:rPr>
                <w:sz w:val="20"/>
                <w:szCs w:val="20"/>
              </w:rPr>
              <w:t>,</w:t>
            </w:r>
            <w:r w:rsidRPr="00BF1ADC">
              <w:rPr>
                <w:sz w:val="20"/>
                <w:szCs w:val="20"/>
              </w:rPr>
              <w:br/>
            </w: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=0.0,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=0.5,</m:t>
                </m:r>
              </m:oMath>
            </m:oMathPara>
          </w:p>
          <w:p w14:paraId="000B9A2F" w14:textId="140A9F6B" w:rsidR="0064621C" w:rsidRPr="00BF1ADC" w:rsidRDefault="0064621C"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=3.0,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0A2D07D2" w14:textId="77777777" w:rsidR="0064621C" w:rsidRDefault="0064621C" w:rsidP="0064621C">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Pr="00BF1ADC">
              <w:rPr>
                <w:sz w:val="20"/>
                <w:szCs w:val="20"/>
              </w:rPr>
              <w:t>,</w:t>
            </w:r>
          </w:p>
          <w:p w14:paraId="5826BB6A" w14:textId="32F5B450" w:rsidR="0064621C" w:rsidRPr="00BF1ADC" w:rsidRDefault="0064621C"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=0.5,</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=1.0,β=0</m:t>
                </m:r>
              </m:oMath>
            </m:oMathPara>
          </w:p>
          <w:p w14:paraId="60F0B024" w14:textId="77777777" w:rsidR="0064621C" w:rsidRPr="00BF1ADC" w:rsidRDefault="0064621C" w:rsidP="0064621C">
            <w:pPr>
              <w:pStyle w:val="NoSpacing"/>
              <w:jc w:val="center"/>
              <w:rPr>
                <w:sz w:val="20"/>
                <w:szCs w:val="20"/>
              </w:rPr>
            </w:pPr>
            <m:oMathPara>
              <m:oMath>
                <m:r>
                  <w:rPr>
                    <w:rFonts w:ascii="Cambria Math" w:hAnsi="Cambria Math"/>
                    <w:sz w:val="20"/>
                    <w:szCs w:val="20"/>
                  </w:rPr>
                  <m:t>μ=0.39, α=0.0</m:t>
                </m:r>
              </m:oMath>
            </m:oMathPara>
          </w:p>
        </w:tc>
      </w:tr>
      <w:tr w:rsidR="0064621C" w:rsidRPr="00BF1ADC" w14:paraId="5DACAECB" w14:textId="77777777" w:rsidTr="0064621C">
        <w:trPr>
          <w:trHeight w:val="20"/>
        </w:trPr>
        <w:tc>
          <w:tcPr>
            <w:tcW w:w="2046" w:type="dxa"/>
            <w:vMerge w:val="restart"/>
            <w:noWrap/>
            <w:vAlign w:val="center"/>
            <w:hideMark/>
          </w:tcPr>
          <w:p w14:paraId="49586C38" w14:textId="2BADCFF5" w:rsidR="0064621C" w:rsidRPr="00BF1ADC" w:rsidRDefault="0064621C" w:rsidP="0064621C">
            <w:pPr>
              <w:pStyle w:val="NoSpacing"/>
              <w:jc w:val="center"/>
              <w:rPr>
                <w:b/>
                <w:sz w:val="20"/>
                <w:szCs w:val="20"/>
              </w:rPr>
            </w:pPr>
            <w:r w:rsidRPr="00787F83">
              <w:rPr>
                <w:b/>
                <w:sz w:val="20"/>
                <w:szCs w:val="20"/>
              </w:rPr>
              <w:t>purely GxE</w:t>
            </w:r>
          </w:p>
        </w:tc>
        <w:tc>
          <w:tcPr>
            <w:tcW w:w="1639" w:type="dxa"/>
            <w:noWrap/>
            <w:vAlign w:val="center"/>
            <w:hideMark/>
          </w:tcPr>
          <w:p w14:paraId="603C716A" w14:textId="77777777" w:rsidR="0064621C" w:rsidRPr="00BF1ADC" w:rsidRDefault="0064621C" w:rsidP="0064621C">
            <w:pPr>
              <w:pStyle w:val="NoSpacing"/>
              <w:jc w:val="center"/>
              <w:rPr>
                <w:sz w:val="20"/>
                <w:szCs w:val="20"/>
              </w:rPr>
            </w:pPr>
            <w:r w:rsidRPr="00BF1ADC">
              <w:rPr>
                <w:sz w:val="20"/>
                <w:szCs w:val="20"/>
              </w:rPr>
              <w:t>Yes</w:t>
            </w:r>
          </w:p>
        </w:tc>
        <w:tc>
          <w:tcPr>
            <w:tcW w:w="2790" w:type="dxa"/>
            <w:noWrap/>
            <w:vAlign w:val="center"/>
            <w:hideMark/>
          </w:tcPr>
          <w:p w14:paraId="4DE70519" w14:textId="77777777" w:rsidR="0064621C" w:rsidRDefault="0064621C" w:rsidP="0064621C">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Pr="00BF1ADC">
              <w:rPr>
                <w:sz w:val="20"/>
                <w:szCs w:val="20"/>
              </w:rPr>
              <w:t>,</w:t>
            </w:r>
          </w:p>
          <w:p w14:paraId="3F4470B4" w14:textId="77777777" w:rsidR="0064621C" w:rsidRPr="00B10E4A" w:rsidRDefault="0064621C"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 xml:space="preserve">=1.0,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=0.0,</m:t>
                </m:r>
              </m:oMath>
            </m:oMathPara>
          </w:p>
          <w:p w14:paraId="09D7DDE1" w14:textId="57930C1C" w:rsidR="0064621C" w:rsidRPr="00BF1ADC" w:rsidRDefault="0064621C"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=3.0,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3967C992" w14:textId="77777777" w:rsidR="0064621C" w:rsidRPr="00BF1ADC" w:rsidRDefault="0064621C" w:rsidP="0064621C">
            <w:pPr>
              <w:pStyle w:val="NoSpacing"/>
              <w:jc w:val="center"/>
              <w:rPr>
                <w:sz w:val="20"/>
                <w:szCs w:val="20"/>
              </w:rPr>
            </w:pPr>
            <w:r w:rsidRPr="00BF1ADC">
              <w:rPr>
                <w:sz w:val="20"/>
                <w:szCs w:val="20"/>
              </w:rPr>
              <w:t>(Not simulated)</w:t>
            </w:r>
          </w:p>
        </w:tc>
      </w:tr>
      <w:tr w:rsidR="00E830BB" w:rsidRPr="00BF1ADC" w14:paraId="040D3DA4" w14:textId="77777777" w:rsidTr="0064621C">
        <w:trPr>
          <w:trHeight w:val="20"/>
        </w:trPr>
        <w:tc>
          <w:tcPr>
            <w:tcW w:w="2046" w:type="dxa"/>
            <w:vMerge/>
            <w:noWrap/>
            <w:vAlign w:val="center"/>
            <w:hideMark/>
          </w:tcPr>
          <w:p w14:paraId="44BA89E5" w14:textId="77777777" w:rsidR="00E830BB" w:rsidRPr="00BF1ADC" w:rsidRDefault="00E830BB" w:rsidP="0064621C">
            <w:pPr>
              <w:pStyle w:val="NoSpacing"/>
              <w:jc w:val="center"/>
              <w:rPr>
                <w:sz w:val="20"/>
                <w:szCs w:val="20"/>
              </w:rPr>
            </w:pPr>
          </w:p>
        </w:tc>
        <w:tc>
          <w:tcPr>
            <w:tcW w:w="1639" w:type="dxa"/>
            <w:noWrap/>
            <w:vAlign w:val="center"/>
            <w:hideMark/>
          </w:tcPr>
          <w:p w14:paraId="43490277" w14:textId="77777777" w:rsidR="00E830BB" w:rsidRPr="00BF1ADC" w:rsidRDefault="00E830BB" w:rsidP="0064621C">
            <w:pPr>
              <w:pStyle w:val="NoSpacing"/>
              <w:jc w:val="center"/>
              <w:rPr>
                <w:sz w:val="20"/>
                <w:szCs w:val="20"/>
              </w:rPr>
            </w:pPr>
            <w:r w:rsidRPr="00BF1ADC">
              <w:rPr>
                <w:sz w:val="20"/>
                <w:szCs w:val="20"/>
              </w:rPr>
              <w:t>Null</w:t>
            </w:r>
          </w:p>
        </w:tc>
        <w:tc>
          <w:tcPr>
            <w:tcW w:w="2790" w:type="dxa"/>
            <w:noWrap/>
            <w:vAlign w:val="center"/>
            <w:hideMark/>
          </w:tcPr>
          <w:p w14:paraId="1F5C265D" w14:textId="17132CAB" w:rsidR="00BF1ADC" w:rsidRDefault="007F3C26" w:rsidP="0064621C">
            <w:pPr>
              <w:pStyle w:val="NoSpacing"/>
              <w:jc w:val="center"/>
              <w:rPr>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-1.25, -2.5</m:t>
                  </m:r>
                </m:e>
              </m:d>
            </m:oMath>
            <w:r w:rsidR="00E830BB" w:rsidRPr="00BF1ADC">
              <w:rPr>
                <w:sz w:val="20"/>
                <w:szCs w:val="20"/>
              </w:rPr>
              <w:t>,</w:t>
            </w:r>
          </w:p>
          <w:p w14:paraId="3CC713AF" w14:textId="77777777" w:rsidR="00B10E4A" w:rsidRPr="00B10E4A" w:rsidRDefault="007F3C26"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 xml:space="preserve">=0.5,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=0.0,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r>
                  <w:rPr>
                    <w:rFonts w:ascii="Cambria Math" w:hAnsi="Cambria Math"/>
                    <w:sz w:val="20"/>
                    <w:szCs w:val="20"/>
                  </w:rPr>
                  <m:t>=0.0,</m:t>
                </m:r>
              </m:oMath>
            </m:oMathPara>
          </w:p>
          <w:p w14:paraId="62F054C3" w14:textId="7F28014E" w:rsidR="00E830BB" w:rsidRPr="00BF1ADC" w:rsidRDefault="007F3C26" w:rsidP="0064621C">
            <w:pPr>
              <w:pStyle w:val="NoSpacing"/>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m:t>
                    </m:r>
                  </m:sub>
                </m:sSub>
                <m:r>
                  <w:rPr>
                    <w:rFonts w:ascii="Cambria Math" w:hAnsi="Cambria Math"/>
                    <w:sz w:val="20"/>
                    <w:szCs w:val="20"/>
                  </w:rPr>
                  <m:t>=3.0,</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e</m:t>
                    </m:r>
                  </m:sub>
                </m:sSub>
                <m:r>
                  <w:rPr>
                    <w:rFonts w:ascii="Cambria Math" w:hAnsi="Cambria Math"/>
                    <w:sz w:val="20"/>
                    <w:szCs w:val="20"/>
                  </w:rPr>
                  <m:t>=1.0</m:t>
                </m:r>
              </m:oMath>
            </m:oMathPara>
          </w:p>
        </w:tc>
        <w:tc>
          <w:tcPr>
            <w:tcW w:w="2880" w:type="dxa"/>
            <w:noWrap/>
            <w:vAlign w:val="center"/>
            <w:hideMark/>
          </w:tcPr>
          <w:p w14:paraId="38F0AC42" w14:textId="77777777" w:rsidR="00E830BB" w:rsidRPr="00BF1ADC" w:rsidRDefault="00E830BB" w:rsidP="0064621C">
            <w:pPr>
              <w:pStyle w:val="NoSpacing"/>
              <w:jc w:val="center"/>
              <w:rPr>
                <w:sz w:val="20"/>
                <w:szCs w:val="20"/>
              </w:rPr>
            </w:pPr>
            <w:r w:rsidRPr="00BF1ADC">
              <w:rPr>
                <w:sz w:val="20"/>
                <w:szCs w:val="20"/>
              </w:rPr>
              <w:t>(Not simulated)</w:t>
            </w:r>
          </w:p>
        </w:tc>
      </w:tr>
    </w:tbl>
    <w:p w14:paraId="0B027201" w14:textId="77777777" w:rsidR="00E830BB" w:rsidRDefault="00E830BB" w:rsidP="00E830BB">
      <w:pPr>
        <w:rPr>
          <w:bCs/>
        </w:rPr>
      </w:pPr>
      <w:r>
        <w:rPr>
          <w:bCs/>
        </w:rPr>
        <w:t>The full results for Poisson and Beta distributed phenotypes are shown in supplement figure s3a.</w:t>
      </w:r>
    </w:p>
    <w:p w14:paraId="77DC5764" w14:textId="1271D530" w:rsidR="00E830BB" w:rsidRDefault="00E830BB" w:rsidP="00E830BB">
      <w:pPr>
        <w:pStyle w:val="Heading2"/>
      </w:pPr>
      <w:r>
        <w:t>Execut</w:t>
      </w:r>
      <w:r w:rsidR="00EC78FE">
        <w:t>e and summ</w:t>
      </w:r>
      <w:r w:rsidR="00C407F0">
        <w:t>arize</w:t>
      </w:r>
      <w:r>
        <w:t xml:space="preserve"> a Simulation </w:t>
      </w:r>
    </w:p>
    <w:p w14:paraId="5B119F06" w14:textId="77777777" w:rsidR="00E830BB" w:rsidRDefault="00E830BB" w:rsidP="00E830BB">
      <w:r>
        <w:t>Once a scenario is decided, the parameters, and phenotype converters were given, in each of the 20,000 repeats we do the following</w:t>
      </w:r>
    </w:p>
    <w:p w14:paraId="4E0E8138" w14:textId="77777777" w:rsidR="00E830BB" w:rsidRDefault="00E830BB" w:rsidP="00E830BB">
      <w:pPr>
        <w:pStyle w:val="ListParagraph"/>
        <w:numPr>
          <w:ilvl w:val="0"/>
          <w:numId w:val="9"/>
        </w:numPr>
      </w:pPr>
      <w:r>
        <w:t>data generation</w:t>
      </w:r>
    </w:p>
    <w:p w14:paraId="1D802B98" w14:textId="77777777" w:rsidR="00E830BB" w:rsidRPr="00747F16" w:rsidRDefault="00E830BB" w:rsidP="00E830BB">
      <w:pPr>
        <w:pStyle w:val="ListParagraph"/>
        <w:numPr>
          <w:ilvl w:val="1"/>
          <w:numId w:val="9"/>
        </w:numPr>
      </w:pPr>
      <w:r>
        <w:t xml:space="preserve">acquire vector of genotype </w:t>
      </w:r>
      <m:oMath>
        <m:r>
          <m:rPr>
            <m:sty m:val="bi"/>
          </m:rPr>
          <w:rPr>
            <w:rFonts w:ascii="Cambria Math" w:hAnsi="Cambria Math"/>
          </w:rPr>
          <m:t>g</m:t>
        </m:r>
      </m:oMath>
      <w:r w:rsidRPr="00747F16">
        <w:t>,</w:t>
      </w:r>
      <w:r w:rsidRPr="007D3AE9">
        <w:rPr>
          <w:b/>
          <w:bCs/>
        </w:rPr>
        <w:t xml:space="preserve"> </w:t>
      </w:r>
      <w:r>
        <w:t xml:space="preserve">environment </w:t>
      </w:r>
      <m:oMath>
        <m:r>
          <m:rPr>
            <m:sty m:val="bi"/>
          </m:rPr>
          <w:rPr>
            <w:rFonts w:ascii="Cambria Math" w:hAnsi="Cambria Math"/>
          </w:rPr>
          <m:t>u</m:t>
        </m:r>
      </m:oMath>
      <w:r w:rsidRPr="00747F16">
        <w:t>,</w:t>
      </w:r>
      <w:r>
        <w:t xml:space="preserve"> and covariate </w:t>
      </w:r>
      <m:oMath>
        <m:r>
          <m:rPr>
            <m:sty m:val="bi"/>
          </m:rPr>
          <w:rPr>
            <w:rFonts w:ascii="Cambria Math" w:hAnsi="Cambria Math"/>
          </w:rPr>
          <m:t>x</m:t>
        </m:r>
      </m:oMath>
      <w:r w:rsidRPr="00747F16">
        <w:t>.</w:t>
      </w:r>
    </w:p>
    <w:p w14:paraId="59152F6C" w14:textId="77777777" w:rsidR="00E830BB" w:rsidRDefault="00E830BB" w:rsidP="00E830BB">
      <w:pPr>
        <w:pStyle w:val="ListParagraph"/>
        <w:numPr>
          <w:ilvl w:val="1"/>
          <w:numId w:val="9"/>
        </w:numPr>
      </w:pPr>
      <w:r>
        <w:t xml:space="preserve">draw effect sizes </w:t>
      </w:r>
      <m:oMath>
        <m:r>
          <w:rPr>
            <w:rFonts w:ascii="Cambria Math" w:hAnsi="Cambria Math"/>
          </w:rPr>
          <m:t>{a, b,c,d}</m:t>
        </m:r>
      </m:oMath>
      <w:r>
        <w:t xml:space="preserve"> from normal of mean 0 and scenario dependent variances.</w:t>
      </w:r>
    </w:p>
    <w:p w14:paraId="1CC92DD5" w14:textId="77777777" w:rsidR="00E830BB" w:rsidRDefault="00E830BB" w:rsidP="00E830BB">
      <w:pPr>
        <w:pStyle w:val="ListParagraph"/>
        <w:numPr>
          <w:ilvl w:val="1"/>
          <w:numId w:val="9"/>
        </w:numPr>
      </w:pPr>
      <w:r>
        <w:t>draw vector of white noise e from normal of mean 0 and scenario dependent variance.</w:t>
      </w:r>
    </w:p>
    <w:p w14:paraId="6CF017EC" w14:textId="77777777" w:rsidR="00E830BB" w:rsidRDefault="00E830BB" w:rsidP="00E830BB">
      <w:pPr>
        <w:pStyle w:val="ListParagraph"/>
        <w:numPr>
          <w:ilvl w:val="1"/>
          <w:numId w:val="9"/>
        </w:numPr>
      </w:pPr>
      <w:r>
        <w:t xml:space="preserve">generate vector of phenotype </w:t>
      </w:r>
      <m:oMath>
        <m:r>
          <m:rPr>
            <m:sty m:val="bi"/>
          </m:rPr>
          <w:rPr>
            <w:rFonts w:ascii="Cambria Math" w:hAnsi="Cambria Math"/>
          </w:rPr>
          <m:t>y</m:t>
        </m:r>
      </m:oMath>
    </w:p>
    <w:p w14:paraId="51D2A6E1" w14:textId="77777777" w:rsidR="00E830BB" w:rsidRDefault="00E830BB" w:rsidP="00E830BB">
      <w:pPr>
        <w:pStyle w:val="ListParagraph"/>
        <w:numPr>
          <w:ilvl w:val="2"/>
          <w:numId w:val="9"/>
        </w:numPr>
      </w:pPr>
      <w:r>
        <w:t xml:space="preserve">either additively, as </w:t>
      </w:r>
      <m:oMath>
        <m:sSub>
          <m:sSubPr>
            <m:ctrlPr>
              <w:rPr>
                <w:rFonts w:ascii="Cambria Math" w:hAnsi="Cambria Math"/>
                <w:i/>
              </w:rPr>
            </m:ctrlPr>
          </m:sSubPr>
          <m:e>
            <m:r>
              <w:rPr>
                <w:rFonts w:ascii="Cambria Math" w:hAnsi="Cambria Math"/>
              </w:rPr>
              <m:t>y</m:t>
            </m:r>
            <m:ctrlPr>
              <w:rPr>
                <w:rFonts w:ascii="Cambria Math" w:hAnsi="Cambria Math"/>
                <w:bCs/>
                <w:i/>
              </w:rPr>
            </m:ctrlP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+a</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+b</m:t>
        </m:r>
        <m:sSub>
          <m:sSubPr>
            <m:ctrlPr>
              <w:rPr>
                <w:rFonts w:ascii="Cambria Math" w:hAnsi="Cambria Math"/>
                <w:bCs/>
                <w:i/>
              </w:rPr>
            </m:ctrlPr>
          </m:sSubPr>
          <m:e>
            <m:d>
              <m:dPr>
                <m:ctrlPr>
                  <w:rPr>
                    <w:rFonts w:ascii="Cambria Math" w:hAnsi="Cambria Math"/>
                    <w:bCs/>
                    <w:i/>
                  </w:rPr>
                </m:ctrlPr>
              </m:dPr>
              <m:e>
                <m:r>
                  <w:rPr>
                    <w:rFonts w:ascii="Cambria Math" w:hAnsi="Cambria Math"/>
                  </w:rPr>
                  <m:t>ug</m:t>
                </m:r>
              </m:e>
            </m:d>
          </m:e>
          <m:sub>
            <m:r>
              <w:rPr>
                <w:rFonts w:ascii="Cambria Math" w:hAnsi="Cambria Math"/>
              </w:rPr>
              <m:t>i</m:t>
            </m:r>
          </m:sub>
        </m:sSub>
        <m:r>
          <w:rPr>
            <w:rFonts w:ascii="Cambria Math" w:hAnsi="Cambria Math"/>
          </w:rPr>
          <m:t>+c</m:t>
        </m:r>
        <m:sSub>
          <m:sSubPr>
            <m:ctrlPr>
              <w:rPr>
                <w:rFonts w:ascii="Cambria Math" w:hAnsi="Cambria Math"/>
                <w:i/>
              </w:rPr>
            </m:ctrlPr>
          </m:sSubPr>
          <m:e>
            <m:r>
              <w:rPr>
                <w:rFonts w:ascii="Cambria Math" w:hAnsi="Cambria Math"/>
              </w:rPr>
              <m:t>u</m:t>
            </m:r>
            <m:ctrlPr>
              <w:rPr>
                <w:rFonts w:ascii="Cambria Math" w:hAnsi="Cambria Math"/>
                <w:bCs/>
                <w:i/>
              </w:rPr>
            </m:ctrlPr>
          </m:e>
          <m:sub>
            <m:r>
              <w:rPr>
                <w:rFonts w:ascii="Cambria Math" w:hAnsi="Cambria Math"/>
              </w:rPr>
              <m:t>i</m:t>
            </m:r>
          </m:sub>
        </m:sSub>
        <m:r>
          <w:rPr>
            <w:rFonts w:ascii="Cambria Math" w:hAnsi="Cambria Math"/>
          </w:rPr>
          <m:t>+d</m:t>
        </m:r>
        <m:sSub>
          <m:sSubPr>
            <m:ctrlPr>
              <w:rPr>
                <w:rFonts w:ascii="Cambria Math" w:hAnsi="Cambria Math"/>
                <w:i/>
              </w:rPr>
            </m:ctrlPr>
          </m:sSubPr>
          <m:e>
            <m:r>
              <w:rPr>
                <w:rFonts w:ascii="Cambria Math" w:hAnsi="Cambria Math"/>
              </w:rPr>
              <m:t>x</m:t>
            </m:r>
            <m:ctrlPr>
              <w:rPr>
                <w:rFonts w:ascii="Cambria Math" w:hAnsi="Cambria Math"/>
                <w:bCs/>
                <w:i/>
              </w:rPr>
            </m:ctrlPr>
          </m:e>
          <m:sub>
            <m:r>
              <w:rPr>
                <w:rFonts w:ascii="Cambria Math" w:hAnsi="Cambria Math"/>
              </w:rPr>
              <m:t>i</m:t>
            </m:r>
          </m:sub>
        </m:sSub>
        <m:r>
          <w:rPr>
            <w:rFonts w:ascii="Cambria Math" w:hAnsi="Cambria Math"/>
          </w:rPr>
          <m:t>+</m:t>
        </m:r>
        <m:r>
          <m:rPr>
            <m:sty m:val="bi"/>
          </m:rP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m:t>
        </m:r>
      </m:oMath>
    </w:p>
    <w:p w14:paraId="1958E02E" w14:textId="77777777" w:rsidR="00E830BB" w:rsidRDefault="00E830BB" w:rsidP="00E830BB">
      <w:pPr>
        <w:pStyle w:val="ListParagraph"/>
        <w:numPr>
          <w:ilvl w:val="2"/>
          <w:numId w:val="9"/>
        </w:numPr>
      </w:pPr>
      <w:r>
        <w:t xml:space="preserve">or multiplicatively, as </w:t>
      </w:r>
      <m:oMath>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+a</m:t>
            </m:r>
            <m:sSub>
              <m:sSubPr>
                <m:ctrlPr>
                  <w:rPr>
                    <w:rFonts w:ascii="Cambria Math" w:hAnsi="Cambria Math"/>
                    <w:bCs/>
                    <w:i/>
                  </w:rPr>
                </m:ctrlPr>
              </m:sSubPr>
              <m:e>
                <m:r>
                  <w:rPr>
                    <w:rFonts w:ascii="Cambria Math" w:hAnsi="Cambria Math"/>
                  </w:rPr>
                  <m:t>g</m:t>
                </m:r>
              </m:e>
              <m:sub>
                <m:r>
                  <w:rPr>
                    <w:rFonts w:ascii="Cambria Math" w:hAnsi="Cambria Math"/>
                  </w:rPr>
                  <m:t>i</m:t>
                </m:r>
              </m:sub>
            </m:sSub>
            <m:r>
              <w:rPr>
                <w:rFonts w:ascii="Cambria Math" w:hAnsi="Cambria Math"/>
              </w:rPr>
              <m:t>+d</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e</m:t>
                </m:r>
              </m:e>
              <m:sup>
                <m:r>
                  <w:rPr>
                    <w:rFonts w:ascii="Cambria Math" w:hAnsi="Cambria Math"/>
                  </w:rPr>
                  <m:t>μ+α</m:t>
                </m:r>
                <m:sSub>
                  <m:sSubPr>
                    <m:ctrlPr>
                      <w:rPr>
                        <w:rFonts w:ascii="Cambria Math" w:hAnsi="Cambria Math"/>
                        <w:bCs/>
                        <w:i/>
                      </w:rPr>
                    </m:ctrlPr>
                  </m:sSubPr>
                  <m:e>
                    <m:r>
                      <w:rPr>
                        <w:rFonts w:ascii="Cambria Math" w:hAnsi="Cambria Math"/>
                      </w:rPr>
                      <m:t>g</m:t>
                    </m:r>
                  </m:e>
                  <m:sub>
                    <m:r>
                      <w:rPr>
                        <w:rFonts w:ascii="Cambria Math" w:hAnsi="Cambria Math"/>
                      </w:rPr>
                      <m:t>i</m:t>
                    </m:r>
                  </m:sub>
                </m:sSub>
                <m:r>
                  <w:rPr>
                    <w:rFonts w:ascii="Cambria Math" w:hAnsi="Cambria Math"/>
                  </w:rPr>
                  <m:t>+β</m:t>
                </m:r>
                <m:sSubSup>
                  <m:sSubSupPr>
                    <m:ctrlPr>
                      <w:rPr>
                        <w:rFonts w:ascii="Cambria Math" w:hAnsi="Cambria Math"/>
                        <w:b/>
                        <w:i/>
                      </w:rPr>
                    </m:ctrlPr>
                  </m:sSubSupPr>
                  <m:e>
                    <m:r>
                      <m:rPr>
                        <m:sty m:val="bi"/>
                      </m:rPr>
                      <w:rPr>
                        <w:rFonts w:ascii="Cambria Math" w:hAnsi="Cambria Math"/>
                      </w:rPr>
                      <m:t>g</m:t>
                    </m:r>
                  </m:e>
                  <m:sub>
                    <m:r>
                      <m:rPr>
                        <m:sty m:val="bi"/>
                      </m:rPr>
                      <w:rPr>
                        <w:rFonts w:ascii="Cambria Math" w:hAnsi="Cambria Math"/>
                      </w:rPr>
                      <m:t>i</m:t>
                    </m:r>
                  </m:sub>
                  <m:sup>
                    <m:r>
                      <w:rPr>
                        <w:rFonts w:ascii="Cambria Math" w:hAnsi="Cambria Math"/>
                      </w:rPr>
                      <m:t>2</m:t>
                    </m:r>
                    <m:ctrlPr>
                      <w:rPr>
                        <w:rFonts w:ascii="Cambria Math" w:hAnsi="Cambria Math"/>
                        <w:i/>
                      </w:rPr>
                    </m:ctrlPr>
                  </m:sup>
                </m:sSubSup>
              </m:sup>
            </m:sSup>
          </m:e>
        </m:d>
      </m:oMath>
    </w:p>
    <w:p w14:paraId="019D0168" w14:textId="77777777" w:rsidR="00E830BB" w:rsidRPr="00762FAF" w:rsidRDefault="00E830BB" w:rsidP="00E830BB">
      <w:pPr>
        <w:pStyle w:val="ListParagraph"/>
        <w:numPr>
          <w:ilvl w:val="0"/>
          <w:numId w:val="9"/>
        </w:numPr>
      </w:pPr>
      <w:r>
        <w:t xml:space="preserve">statistical tests: </w:t>
      </w:r>
      <w:r>
        <w:tab/>
        <w:t xml:space="preserve">present data </w:t>
      </w:r>
      <m:oMath>
        <m:r>
          <m:rPr>
            <m:sty m:val="bi"/>
          </m:rPr>
          <w:rPr>
            <w:rFonts w:ascii="Cambria Math" w:hAnsi="Cambria Math"/>
          </w:rPr>
          <m:t>{y,x,g}</m:t>
        </m:r>
      </m:oMath>
      <w:r w:rsidRPr="00762FAF">
        <w:rPr>
          <w:bCs/>
        </w:rPr>
        <w:t xml:space="preserve"> to </w:t>
      </w:r>
      <w:r>
        <w:rPr>
          <w:bCs/>
        </w:rPr>
        <w:t>various methods:</w:t>
      </w:r>
    </w:p>
    <w:p w14:paraId="7F4BAB33" w14:textId="77777777" w:rsidR="00E830BB" w:rsidRPr="00D03C18" w:rsidRDefault="00E830BB" w:rsidP="00E830BB">
      <w:pPr>
        <w:pStyle w:val="ListParagraph"/>
        <w:numPr>
          <w:ilvl w:val="1"/>
          <w:numId w:val="9"/>
        </w:numPr>
      </w:pPr>
      <w:r>
        <w:rPr>
          <w:bCs/>
        </w:rPr>
        <w:t>DLM: double linear model</w:t>
      </w:r>
    </w:p>
    <w:p w14:paraId="14F3BB1E" w14:textId="77777777" w:rsidR="00E830BB" w:rsidRPr="00946BF8" w:rsidRDefault="00E830BB" w:rsidP="00E830BB">
      <w:pPr>
        <w:pStyle w:val="ListParagraph"/>
        <w:numPr>
          <w:ilvl w:val="1"/>
          <w:numId w:val="9"/>
        </w:numPr>
      </w:pPr>
      <w:r>
        <w:rPr>
          <w:bCs/>
        </w:rPr>
        <w:t>VLA: variance locus analysis, the proposed method</w:t>
      </w:r>
    </w:p>
    <w:p w14:paraId="655E2904" w14:textId="77777777" w:rsidR="00E830BB" w:rsidRDefault="00E830BB" w:rsidP="00E830BB">
      <w:pPr>
        <w:pStyle w:val="ListParagraph"/>
        <w:numPr>
          <w:ilvl w:val="1"/>
          <w:numId w:val="9"/>
        </w:numPr>
      </w:pPr>
      <w:r>
        <w:t>LVT: Levene’s robust test of heterogeneous variance</w:t>
      </w:r>
    </w:p>
    <w:p w14:paraId="6858645A" w14:textId="77777777" w:rsidR="00E830BB" w:rsidRDefault="00E830BB" w:rsidP="00E830BB">
      <w:pPr>
        <w:pStyle w:val="ListParagraph"/>
        <w:numPr>
          <w:ilvl w:val="1"/>
          <w:numId w:val="9"/>
        </w:numPr>
      </w:pPr>
      <w:r>
        <w:t>DRM: deviation regression model</w:t>
      </w:r>
    </w:p>
    <w:p w14:paraId="220ED219" w14:textId="77777777" w:rsidR="00E830BB" w:rsidRDefault="00E830BB" w:rsidP="00E830BB">
      <w:pPr>
        <w:pStyle w:val="ListParagraph"/>
        <w:numPr>
          <w:ilvl w:val="0"/>
          <w:numId w:val="9"/>
        </w:numPr>
      </w:pPr>
      <w:r>
        <w:t>collect the p-values of the primary test statistics from the above methods.</w:t>
      </w:r>
    </w:p>
    <w:p w14:paraId="41B0FDB6" w14:textId="77777777" w:rsidR="00E830BB" w:rsidRDefault="00E830BB" w:rsidP="00E830BB">
      <w:r>
        <w:t xml:space="preserve">In all scenarios, we fixed the size of statistical test at 0.05, that is, rejecting the null hypothesis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the genotype </w:t>
      </w:r>
      <m:oMath>
        <m:r>
          <m:rPr>
            <m:sty m:val="bi"/>
          </m:rPr>
          <w:rPr>
            <w:rFonts w:ascii="Cambria Math" w:hAnsi="Cambria Math"/>
          </w:rPr>
          <m:t>g</m:t>
        </m:r>
      </m:oMath>
      <w:r w:rsidRPr="00BD75E7">
        <w:t xml:space="preserve"> is not a va</w:t>
      </w:r>
      <w:r w:rsidRPr="008916EB">
        <w:t xml:space="preserve">riance locus of phenotype </w:t>
      </w:r>
      <m:oMath>
        <m:r>
          <m:rPr>
            <m:sty m:val="bi"/>
          </m:rPr>
          <w:rPr>
            <w:rFonts w:ascii="Cambria Math" w:hAnsi="Cambria Math"/>
          </w:rPr>
          <m:t>y</m:t>
        </m:r>
      </m:oMath>
      <w:r>
        <w:rPr>
          <w:b/>
          <w:bCs/>
        </w:rPr>
        <w:t>,</w:t>
      </w:r>
      <w:r w:rsidRPr="008916EB">
        <w:t xml:space="preserve"> when the p-value of the primary statistics of a methods went below 0.05.</w:t>
      </w:r>
      <w:r>
        <w:t xml:space="preserve"> </w:t>
      </w:r>
    </w:p>
    <w:p w14:paraId="3E020356" w14:textId="77777777" w:rsidR="00E830BB" w:rsidRDefault="00E830BB" w:rsidP="00E830BB">
      <w:r>
        <w:t xml:space="preserve">When a scenario allows variance locus, the proportion of rejecting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among 20,000 repeats shows a method’s power, or true positive rate (TPR); conversely, under the scenarios of null variance locus, the proportion of rejecting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in 20,000 repeats shows a method’s type 1 error, or false positive rate (FPR). For each scenario, we present the TPR and FPR across the sample sizes, in supplementary Figures s1-s3.</w:t>
      </w:r>
    </w:p>
    <w:p w14:paraId="6E46DA5F" w14:textId="77777777" w:rsidR="00E830BB" w:rsidRDefault="00E830BB" w:rsidP="00E830BB">
      <w:r>
        <w:t>Taking Gaussian phenotypes as an example, in which case a total of 6 scenarios, 3 with variance loci and 3 corresponding null scenarios were simulated, we either (1) present the average FPR alongside three TPR, or (2) present the net positive rates as the TPR of each non-null scenario minus the FPR of their corresponding null scenario. The full results for Gaussian phenotypes are shown in supplement figure S1a.</w:t>
      </w:r>
    </w:p>
    <w:p w14:paraId="2F347070" w14:textId="77777777" w:rsidR="00E830BB" w:rsidRDefault="00E830BB" w:rsidP="00E830BB">
      <w:r>
        <w:rPr>
          <w:bCs/>
        </w:rPr>
        <w:t xml:space="preserve">For binomial phenotypes, the presentation is divided into 3 groups corresponding to the grand mean </w:t>
      </w:r>
      <m:oMath>
        <m:sSub>
          <m:sSubPr>
            <m:ctrlPr>
              <w:rPr>
                <w:rFonts w:ascii="Cambria Math" w:hAnsi="Cambria Math"/>
                <w:bCs/>
                <w:i/>
              </w:rPr>
            </m:ctrlPr>
          </m:sSubPr>
          <m:e>
            <m:r>
              <w:rPr>
                <w:rFonts w:ascii="Cambria Math" w:hAnsi="Cambria Math"/>
              </w:rPr>
              <m:t>m</m:t>
            </m:r>
          </m:e>
          <m:sub>
            <m:r>
              <w:rPr>
                <w:rFonts w:ascii="Cambria Math" w:hAnsi="Cambria Math"/>
              </w:rPr>
              <m:t>0</m:t>
            </m:r>
          </m:sub>
        </m:sSub>
      </m:oMath>
      <w:r>
        <w:rPr>
          <w:bCs/>
        </w:rPr>
        <w:t xml:space="preserve">, so the first group shows the results of balanced case / control, followed by results of 22% case rates, and the last group shows the results of 7.8% case rate. Each group present 6 scenarios similar to the Gaussian scenarios. </w:t>
      </w:r>
      <w:r>
        <w:t>The results are presented in supplement figure S2a</w:t>
      </w:r>
      <w:r>
        <w:rPr>
          <w:bCs/>
        </w:rPr>
        <w:t>.</w:t>
      </w:r>
      <w:r w:rsidRPr="00BB4F47">
        <w:t xml:space="preserve"> </w:t>
      </w:r>
      <w:r>
        <w:t xml:space="preserve">We also present another set of results with </w:t>
      </w:r>
      <w:r>
        <w:lastRenderedPageBreak/>
        <w:t xml:space="preserve">nullified covariate effect in supplement figure (s2b), where all methods lost power / true positive rate as expected. </w:t>
      </w:r>
    </w:p>
    <w:p w14:paraId="09CA5155" w14:textId="77777777" w:rsidR="00E830BB" w:rsidRDefault="00E830BB" w:rsidP="00E830BB">
      <w:pPr>
        <w:rPr>
          <w:bCs/>
        </w:rPr>
      </w:pPr>
      <w:r>
        <w:rPr>
          <w:bCs/>
        </w:rPr>
        <w:t>For Poisson phenotypes, the presentation is the same with binomial phenotypes.</w:t>
      </w:r>
    </w:p>
    <w:p w14:paraId="319ED8C9" w14:textId="2A312A1F" w:rsidR="00E830BB" w:rsidRPr="00994789" w:rsidRDefault="00C407F0" w:rsidP="00994789">
      <w:pPr>
        <w:pStyle w:val="Heading2"/>
      </w:pPr>
      <w:r>
        <w:t xml:space="preserve">Results and </w:t>
      </w:r>
      <w:r w:rsidR="00E830BB" w:rsidRPr="00994789">
        <w:t>Scripts</w:t>
      </w:r>
    </w:p>
    <w:p w14:paraId="35EF659F" w14:textId="1E89C447" w:rsidR="00E830BB" w:rsidRDefault="00C407F0" w:rsidP="00E830BB">
      <w:pPr>
        <w:rPr>
          <w:bCs/>
        </w:rPr>
      </w:pPr>
      <w:r>
        <w:rPr>
          <w:bCs/>
        </w:rPr>
        <w:t xml:space="preserve">In this section we present </w:t>
      </w:r>
      <w:r w:rsidR="009130A9">
        <w:rPr>
          <w:bCs/>
        </w:rPr>
        <w:t xml:space="preserve">performance of </w:t>
      </w:r>
      <w:r w:rsidR="003220AD">
        <w:rPr>
          <w:bCs/>
        </w:rPr>
        <w:t>various variance locus detectors</w:t>
      </w:r>
      <w:r w:rsidR="00794114">
        <w:rPr>
          <w:bCs/>
        </w:rPr>
        <w:t xml:space="preserve"> in figures</w:t>
      </w:r>
      <w:r w:rsidR="003220AD">
        <w:rPr>
          <w:bCs/>
        </w:rPr>
        <w:t xml:space="preserve">, separated by the distribution </w:t>
      </w:r>
      <w:r w:rsidR="0058796F">
        <w:rPr>
          <w:bCs/>
        </w:rPr>
        <w:t xml:space="preserve">type </w:t>
      </w:r>
      <w:r w:rsidR="003220AD">
        <w:rPr>
          <w:bCs/>
        </w:rPr>
        <w:t xml:space="preserve">of </w:t>
      </w:r>
      <w:r w:rsidR="0058796F">
        <w:rPr>
          <w:bCs/>
        </w:rPr>
        <w:t xml:space="preserve">simulated </w:t>
      </w:r>
      <w:r w:rsidR="003220AD">
        <w:rPr>
          <w:bCs/>
        </w:rPr>
        <w:t>phenotypes.</w:t>
      </w:r>
    </w:p>
    <w:p w14:paraId="57B9AFDE" w14:textId="355D6722" w:rsidR="003220AD" w:rsidRDefault="003220AD" w:rsidP="00E830BB">
      <w:pPr>
        <w:rPr>
          <w:bCs/>
        </w:rPr>
      </w:pPr>
      <w:r>
        <w:rPr>
          <w:bCs/>
        </w:rPr>
        <w:t xml:space="preserve">The scripts to generate phenotype, </w:t>
      </w:r>
      <w:r w:rsidR="00794114">
        <w:rPr>
          <w:bCs/>
        </w:rPr>
        <w:t xml:space="preserve">to </w:t>
      </w:r>
      <w:r>
        <w:rPr>
          <w:bCs/>
        </w:rPr>
        <w:t>execute</w:t>
      </w:r>
      <w:r w:rsidR="0086332F">
        <w:rPr>
          <w:bCs/>
        </w:rPr>
        <w:t xml:space="preserve"> and</w:t>
      </w:r>
      <w:r>
        <w:rPr>
          <w:bCs/>
        </w:rPr>
        <w:t xml:space="preserve"> summarize</w:t>
      </w:r>
      <w:r w:rsidR="0086332F">
        <w:rPr>
          <w:bCs/>
        </w:rPr>
        <w:t xml:space="preserve"> the simulation</w:t>
      </w:r>
      <w:r>
        <w:rPr>
          <w:bCs/>
        </w:rPr>
        <w:t xml:space="preserve">, </w:t>
      </w:r>
      <w:r w:rsidR="00794114">
        <w:rPr>
          <w:bCs/>
        </w:rPr>
        <w:t xml:space="preserve">and to </w:t>
      </w:r>
      <w:r>
        <w:rPr>
          <w:bCs/>
        </w:rPr>
        <w:t>plot</w:t>
      </w:r>
      <w:r w:rsidR="0086332F">
        <w:rPr>
          <w:bCs/>
        </w:rPr>
        <w:t xml:space="preserve"> the </w:t>
      </w:r>
      <w:r w:rsidR="00794114">
        <w:rPr>
          <w:bCs/>
        </w:rPr>
        <w:t xml:space="preserve">figures </w:t>
      </w:r>
      <w:r w:rsidR="0058796F">
        <w:rPr>
          <w:bCs/>
        </w:rPr>
        <w:t xml:space="preserve">are </w:t>
      </w:r>
      <w:r>
        <w:rPr>
          <w:bCs/>
        </w:rPr>
        <w:t xml:space="preserve">written in R. We provide GitHub links to the </w:t>
      </w:r>
      <w:r w:rsidR="0058796F">
        <w:rPr>
          <w:bCs/>
        </w:rPr>
        <w:t xml:space="preserve">corresponding </w:t>
      </w:r>
      <w:r>
        <w:rPr>
          <w:bCs/>
        </w:rPr>
        <w:t xml:space="preserve">script under </w:t>
      </w:r>
      <w:r w:rsidR="0058796F">
        <w:rPr>
          <w:bCs/>
        </w:rPr>
        <w:t xml:space="preserve">each </w:t>
      </w:r>
      <w:r>
        <w:rPr>
          <w:bCs/>
        </w:rPr>
        <w:t>figures.</w:t>
      </w:r>
    </w:p>
    <w:p w14:paraId="5D959AF6" w14:textId="1EDBECD4" w:rsidR="00994789" w:rsidRPr="00994789" w:rsidRDefault="00994789" w:rsidP="00994789">
      <w:pPr>
        <w:pStyle w:val="Heading3"/>
      </w:pPr>
      <w:r>
        <w:t>Scenarios involving Gaussian phenotype</w:t>
      </w:r>
    </w:p>
    <w:p w14:paraId="58150176" w14:textId="14B05E75" w:rsidR="00D41709" w:rsidRDefault="00D035B7" w:rsidP="004908F7">
      <w:pPr>
        <w:spacing w:after="0" w:line="240" w:lineRule="auto"/>
        <w:rPr>
          <w:b/>
          <w:bCs/>
          <w:noProof/>
        </w:rPr>
      </w:pPr>
      <w:r w:rsidRPr="008B37AD">
        <w:rPr>
          <w:b/>
          <w:bCs/>
        </w:rPr>
        <w:t>a</w:t>
      </w:r>
      <w:r w:rsidR="00922175">
        <w:rPr>
          <w:b/>
          <w:bCs/>
          <w:noProof/>
        </w:rPr>
        <w:drawing>
          <wp:inline distT="0" distB="0" distL="0" distR="0" wp14:anchorId="7E690646" wp14:editId="65BF901F">
            <wp:extent cx="3153927" cy="868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53927" cy="868680"/>
                    </a:xfrm>
                    <a:prstGeom prst="rect">
                      <a:avLst/>
                    </a:prstGeom>
                  </pic:spPr>
                </pic:pic>
              </a:graphicData>
            </a:graphic>
          </wp:inline>
        </w:drawing>
      </w:r>
      <w:r w:rsidRPr="00D035B7">
        <w:rPr>
          <w:b/>
          <w:bCs/>
        </w:rPr>
        <w:t xml:space="preserve"> </w:t>
      </w:r>
      <w:r>
        <w:rPr>
          <w:b/>
          <w:bCs/>
        </w:rPr>
        <w:t>b</w:t>
      </w:r>
      <w:r>
        <w:rPr>
          <w:b/>
          <w:bCs/>
          <w:noProof/>
        </w:rPr>
        <w:t xml:space="preserve"> </w:t>
      </w:r>
      <w:r w:rsidR="00922175">
        <w:rPr>
          <w:b/>
          <w:bCs/>
          <w:noProof/>
        </w:rPr>
        <w:drawing>
          <wp:inline distT="0" distB="0" distL="0" distR="0" wp14:anchorId="0C6E296E" wp14:editId="269DB604">
            <wp:extent cx="2390706" cy="868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0706" cy="868680"/>
                    </a:xfrm>
                    <a:prstGeom prst="rect">
                      <a:avLst/>
                    </a:prstGeom>
                  </pic:spPr>
                </pic:pic>
              </a:graphicData>
            </a:graphic>
          </wp:inline>
        </w:drawing>
      </w:r>
    </w:p>
    <w:p w14:paraId="28D06CAC" w14:textId="5D9F886B" w:rsidR="004908F7" w:rsidRPr="00CE0A4C" w:rsidRDefault="004908F7" w:rsidP="00CE0A4C">
      <w:pPr>
        <w:pStyle w:val="NoSpacing"/>
        <w:jc w:val="center"/>
        <w:rPr>
          <w:b/>
          <w:bCs/>
          <w:sz w:val="20"/>
          <w:szCs w:val="20"/>
        </w:rPr>
      </w:pPr>
      <w:r w:rsidRPr="00CE0A4C">
        <w:rPr>
          <w:b/>
          <w:bCs/>
          <w:sz w:val="20"/>
          <w:szCs w:val="20"/>
        </w:rPr>
        <w:t>Figure s1</w:t>
      </w:r>
      <w:r w:rsidR="00BA3AF0">
        <w:rPr>
          <w:b/>
          <w:bCs/>
          <w:sz w:val="20"/>
          <w:szCs w:val="20"/>
        </w:rPr>
        <w:t>a</w:t>
      </w:r>
      <w:r w:rsidRPr="00CE0A4C">
        <w:rPr>
          <w:b/>
          <w:bCs/>
          <w:sz w:val="20"/>
          <w:szCs w:val="20"/>
        </w:rPr>
        <w:t xml:space="preserve">: </w:t>
      </w:r>
      <w:r w:rsidR="00EF25BE">
        <w:rPr>
          <w:b/>
          <w:bCs/>
          <w:sz w:val="20"/>
          <w:szCs w:val="20"/>
        </w:rPr>
        <w:t>performance on s</w:t>
      </w:r>
      <w:r w:rsidR="00EF25BE" w:rsidRPr="00CE0A4C">
        <w:rPr>
          <w:b/>
          <w:bCs/>
          <w:sz w:val="20"/>
          <w:szCs w:val="20"/>
        </w:rPr>
        <w:t>imulat</w:t>
      </w:r>
      <w:r w:rsidR="00EF25BE">
        <w:rPr>
          <w:b/>
          <w:bCs/>
          <w:sz w:val="20"/>
          <w:szCs w:val="20"/>
        </w:rPr>
        <w:t>ed</w:t>
      </w:r>
      <w:r w:rsidR="00EF25BE" w:rsidRPr="00CE0A4C">
        <w:rPr>
          <w:b/>
          <w:bCs/>
          <w:sz w:val="20"/>
          <w:szCs w:val="20"/>
        </w:rPr>
        <w:t xml:space="preserve"> </w:t>
      </w:r>
      <w:r w:rsidRPr="00CE0A4C">
        <w:rPr>
          <w:b/>
          <w:bCs/>
          <w:sz w:val="20"/>
          <w:szCs w:val="20"/>
        </w:rPr>
        <w:t>Gaussian phenotype</w:t>
      </w:r>
    </w:p>
    <w:p w14:paraId="55CD74E6" w14:textId="77777777" w:rsidR="00EC01FC" w:rsidRDefault="00EC01FC" w:rsidP="00EC01FC">
      <w:pPr>
        <w:pStyle w:val="NoSpacing"/>
      </w:pPr>
      <w:r>
        <w:rPr>
          <w:b/>
          <w:bCs/>
        </w:rPr>
        <w:t xml:space="preserve">Panels: </w:t>
      </w:r>
      <w:r w:rsidRPr="008F7919">
        <w:rPr>
          <w:b/>
          <w:bCs/>
        </w:rPr>
        <w:t>(</w:t>
      </w:r>
      <w:r>
        <w:rPr>
          <w:b/>
          <w:bCs/>
        </w:rPr>
        <w:t>left</w:t>
      </w:r>
      <w:r>
        <w:t>) false</w:t>
      </w:r>
      <w:r w:rsidRPr="008F7919">
        <w:t xml:space="preserve"> positive </w:t>
      </w:r>
      <w:r>
        <w:t xml:space="preserve">and </w:t>
      </w:r>
      <w:r w:rsidRPr="008F7919">
        <w:t>true positive rate; x-axis shows sample sizes in thousands</w:t>
      </w:r>
      <w:r>
        <w:t>,</w:t>
      </w:r>
      <w:r w:rsidRPr="008F7919">
        <w:t xml:space="preserve"> from 16=2</w:t>
      </w:r>
      <w:r w:rsidRPr="008F7919">
        <w:rPr>
          <w:vertAlign w:val="superscript"/>
        </w:rPr>
        <w:t>4</w:t>
      </w:r>
      <w:r w:rsidRPr="008F7919">
        <w:t xml:space="preserve"> to 65536=2</w:t>
      </w:r>
      <w:r w:rsidRPr="008F7919">
        <w:rPr>
          <w:vertAlign w:val="superscript"/>
        </w:rPr>
        <w:t>16</w:t>
      </w:r>
      <w:r w:rsidRPr="008F7919">
        <w:t xml:space="preserve">; y-axis </w:t>
      </w:r>
      <w:r>
        <w:t>shows</w:t>
      </w:r>
      <w:r w:rsidRPr="008F7919">
        <w:t xml:space="preserve"> false positive rate (column 1), or true positive rate (column 2-4). </w:t>
      </w:r>
      <w:r w:rsidRPr="008F7919">
        <w:rPr>
          <w:b/>
          <w:bCs/>
        </w:rPr>
        <w:t>(</w:t>
      </w:r>
      <w:r>
        <w:rPr>
          <w:b/>
          <w:bCs/>
        </w:rPr>
        <w:t>right</w:t>
      </w:r>
      <w:r w:rsidRPr="008F7919">
        <w:rPr>
          <w:b/>
          <w:bCs/>
        </w:rPr>
        <w:t>)</w:t>
      </w:r>
      <w:r w:rsidRPr="008F7919">
        <w:t xml:space="preserve"> </w:t>
      </w:r>
      <w:r>
        <w:t xml:space="preserve">y-axis shows </w:t>
      </w:r>
      <w:r w:rsidRPr="008F7919">
        <w:t xml:space="preserve">net positive rate, defined as true positive rate </w:t>
      </w:r>
      <w:r>
        <w:t>minus</w:t>
      </w:r>
      <w:r w:rsidRPr="008F7919">
        <w:t xml:space="preserve"> false positive rate.</w:t>
      </w:r>
      <w:r>
        <w:t xml:space="preserve"> </w:t>
      </w:r>
    </w:p>
    <w:p w14:paraId="164A54DD" w14:textId="55A1FB16" w:rsidR="00EF0FDB" w:rsidRDefault="00EF0FDB" w:rsidP="00EF0FDB">
      <w:pPr>
        <w:pStyle w:val="NoSpacing"/>
      </w:pPr>
      <w:r w:rsidRPr="00DE1E6F">
        <w:rPr>
          <w:b/>
          <w:bCs/>
        </w:rPr>
        <w:t>Columns:</w:t>
      </w:r>
      <w:r w:rsidRPr="00DE1E6F">
        <w:t xml:space="preserve"> </w:t>
      </w:r>
      <w:r>
        <w:t xml:space="preserve">simulation scenarios </w:t>
      </w:r>
      <w:r w:rsidRPr="00DE1E6F">
        <w:rPr>
          <w:b/>
          <w:bCs/>
        </w:rPr>
        <w:t>(No GxE)</w:t>
      </w:r>
      <w:r>
        <w:t xml:space="preserve"> the null where the SNP is not a variance locus; </w:t>
      </w:r>
      <w:r w:rsidRPr="00DE1E6F">
        <w:rPr>
          <w:b/>
          <w:bCs/>
        </w:rPr>
        <w:t>(GxE Only)</w:t>
      </w:r>
      <w:r>
        <w:t xml:space="preserve"> the SNP is an additive variance locus induced by GxE, without environmental main effect; </w:t>
      </w:r>
      <w:r w:rsidRPr="008B37AD">
        <w:rPr>
          <w:b/>
          <w:bCs/>
        </w:rPr>
        <w:t>(Env + GxE)</w:t>
      </w:r>
      <w:r>
        <w:t xml:space="preserve"> the SNP is an is an GxE induced additive variance locus, with environmental main effect; </w:t>
      </w:r>
      <w:r w:rsidRPr="008B37AD">
        <w:rPr>
          <w:b/>
          <w:bCs/>
        </w:rPr>
        <w:t>(Multiplicative)</w:t>
      </w:r>
      <w:r>
        <w:t xml:space="preserve"> the SNP is an is a multiplicative variance locus.</w:t>
      </w:r>
    </w:p>
    <w:p w14:paraId="3CA65F47" w14:textId="761948F2" w:rsidR="00EF0FDB" w:rsidRDefault="00EF0FDB" w:rsidP="00EF0FDB">
      <w:pPr>
        <w:pStyle w:val="NoSpacing"/>
      </w:pPr>
      <w:r>
        <w:rPr>
          <w:b/>
          <w:bCs/>
        </w:rPr>
        <w:t>Colors:</w:t>
      </w:r>
      <w:r w:rsidRPr="00D41709">
        <w:t xml:space="preserve"> methods</w:t>
      </w:r>
      <w:r>
        <w:t>,</w:t>
      </w:r>
      <w:r>
        <w:rPr>
          <w:b/>
          <w:bCs/>
        </w:rPr>
        <w:t xml:space="preserve"> </w:t>
      </w:r>
      <w:r w:rsidRPr="00D41709">
        <w:rPr>
          <w:b/>
          <w:bCs/>
        </w:rPr>
        <w:t>(DLM)</w:t>
      </w:r>
      <w:r>
        <w:t xml:space="preserve"> </w:t>
      </w:r>
      <w:r w:rsidRPr="00E5614C">
        <w:t xml:space="preserve">double linear model; </w:t>
      </w:r>
      <w:r w:rsidRPr="00D41709">
        <w:rPr>
          <w:b/>
          <w:bCs/>
        </w:rPr>
        <w:t>(VLA)</w:t>
      </w:r>
      <w:r w:rsidRPr="00E5614C">
        <w:t xml:space="preserve"> variance locus analysis / curve upwardness test; </w:t>
      </w:r>
      <w:r w:rsidRPr="00D41709">
        <w:rPr>
          <w:b/>
          <w:bCs/>
        </w:rPr>
        <w:t>(LVT)</w:t>
      </w:r>
      <w:r>
        <w:t xml:space="preserve"> </w:t>
      </w:r>
      <w:r w:rsidRPr="00E5614C">
        <w:t xml:space="preserve">Levene’s test; </w:t>
      </w:r>
      <w:r w:rsidRPr="00D41709">
        <w:rPr>
          <w:b/>
          <w:bCs/>
        </w:rPr>
        <w:t>(DRM)</w:t>
      </w:r>
      <w:r>
        <w:t xml:space="preserve"> </w:t>
      </w:r>
      <w:r w:rsidRPr="00E5614C">
        <w:t>deviation regression model.</w:t>
      </w:r>
      <w:r>
        <w:t xml:space="preserve"> </w:t>
      </w:r>
      <w:r w:rsidRPr="00E17520">
        <w:rPr>
          <w:b/>
          <w:bCs/>
        </w:rPr>
        <w:t>Red dashed line:</w:t>
      </w:r>
      <w:r>
        <w:t xml:space="preserve"> expected false positive rates at the size of hypothesis testing (0.05). The false positive rate is inflated when the cases and controls were imbalanced.</w:t>
      </w:r>
    </w:p>
    <w:p w14:paraId="43105424" w14:textId="00E0D966" w:rsidR="00994789" w:rsidRDefault="00994789" w:rsidP="00994789">
      <w:r>
        <w:t>&lt;place holder: link</w:t>
      </w:r>
      <w:r w:rsidR="005E1B24">
        <w:t>s to the R-script&gt;</w:t>
      </w:r>
    </w:p>
    <w:p w14:paraId="5CECDB6E" w14:textId="25C3FA2F" w:rsidR="00163329" w:rsidRPr="00994789" w:rsidRDefault="00163329" w:rsidP="00163329">
      <w:pPr>
        <w:pStyle w:val="Heading3"/>
      </w:pPr>
      <w:r>
        <w:t>Binary phenotype, strong covariate effect</w:t>
      </w:r>
    </w:p>
    <w:p w14:paraId="1B10EEBB" w14:textId="0454DB77" w:rsidR="009C0D6F" w:rsidRDefault="00655090" w:rsidP="004908F7">
      <w:pPr>
        <w:jc w:val="center"/>
      </w:pPr>
      <w:r>
        <w:rPr>
          <w:b/>
          <w:bCs/>
          <w:noProof/>
        </w:rPr>
        <w:drawing>
          <wp:inline distT="0" distB="0" distL="0" distR="0" wp14:anchorId="05B72C85" wp14:editId="25C835EF">
            <wp:extent cx="3015356"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5356" cy="2286000"/>
                    </a:xfrm>
                    <a:prstGeom prst="rect">
                      <a:avLst/>
                    </a:prstGeom>
                  </pic:spPr>
                </pic:pic>
              </a:graphicData>
            </a:graphic>
          </wp:inline>
        </w:drawing>
      </w:r>
      <w:r w:rsidR="00970938">
        <w:rPr>
          <w:noProof/>
        </w:rPr>
        <w:t xml:space="preserve">     </w:t>
      </w:r>
      <w:r w:rsidR="009C0D6F">
        <w:rPr>
          <w:noProof/>
        </w:rPr>
        <w:drawing>
          <wp:inline distT="0" distB="0" distL="0" distR="0" wp14:anchorId="51532887" wp14:editId="02930CC5">
            <wp:extent cx="2645521" cy="2286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5521" cy="2286000"/>
                    </a:xfrm>
                    <a:prstGeom prst="rect">
                      <a:avLst/>
                    </a:prstGeom>
                  </pic:spPr>
                </pic:pic>
              </a:graphicData>
            </a:graphic>
          </wp:inline>
        </w:drawing>
      </w:r>
    </w:p>
    <w:p w14:paraId="7DD29834" w14:textId="1F076972" w:rsidR="009C0D6F" w:rsidRPr="00CE0A4C" w:rsidRDefault="009C0D6F" w:rsidP="00CE0A4C">
      <w:pPr>
        <w:pStyle w:val="NoSpacing"/>
        <w:jc w:val="center"/>
        <w:rPr>
          <w:b/>
          <w:bCs/>
          <w:sz w:val="20"/>
          <w:szCs w:val="20"/>
        </w:rPr>
      </w:pPr>
      <w:r w:rsidRPr="00CE0A4C">
        <w:rPr>
          <w:b/>
          <w:bCs/>
          <w:sz w:val="20"/>
          <w:szCs w:val="20"/>
        </w:rPr>
        <w:t>Figure s</w:t>
      </w:r>
      <w:r w:rsidR="00AF3949">
        <w:rPr>
          <w:b/>
          <w:bCs/>
          <w:sz w:val="20"/>
          <w:szCs w:val="20"/>
        </w:rPr>
        <w:t>1b</w:t>
      </w:r>
      <w:r w:rsidRPr="00CE0A4C">
        <w:rPr>
          <w:b/>
          <w:bCs/>
          <w:sz w:val="20"/>
          <w:szCs w:val="20"/>
        </w:rPr>
        <w:t xml:space="preserve">: </w:t>
      </w:r>
      <w:r w:rsidR="00EF25BE">
        <w:rPr>
          <w:b/>
          <w:bCs/>
          <w:sz w:val="20"/>
          <w:szCs w:val="20"/>
        </w:rPr>
        <w:t>performance on s</w:t>
      </w:r>
      <w:r w:rsidR="00EF25BE" w:rsidRPr="00CE0A4C">
        <w:rPr>
          <w:b/>
          <w:bCs/>
          <w:sz w:val="20"/>
          <w:szCs w:val="20"/>
        </w:rPr>
        <w:t>imulat</w:t>
      </w:r>
      <w:r w:rsidR="00EF25BE">
        <w:rPr>
          <w:b/>
          <w:bCs/>
          <w:sz w:val="20"/>
          <w:szCs w:val="20"/>
        </w:rPr>
        <w:t>ed</w:t>
      </w:r>
      <w:r w:rsidR="00EF25BE" w:rsidRPr="00CE0A4C">
        <w:rPr>
          <w:b/>
          <w:bCs/>
          <w:sz w:val="20"/>
          <w:szCs w:val="20"/>
        </w:rPr>
        <w:t xml:space="preserve"> </w:t>
      </w:r>
      <w:r w:rsidRPr="00CE0A4C">
        <w:rPr>
          <w:b/>
          <w:bCs/>
          <w:sz w:val="20"/>
          <w:szCs w:val="20"/>
        </w:rPr>
        <w:t>binary phenotype</w:t>
      </w:r>
      <w:r w:rsidR="00CE0A4C">
        <w:rPr>
          <w:b/>
          <w:bCs/>
          <w:sz w:val="20"/>
          <w:szCs w:val="20"/>
        </w:rPr>
        <w:t xml:space="preserve">, </w:t>
      </w:r>
      <w:r w:rsidR="00D36A33">
        <w:rPr>
          <w:b/>
          <w:bCs/>
          <w:sz w:val="20"/>
          <w:szCs w:val="20"/>
        </w:rPr>
        <w:t>with</w:t>
      </w:r>
      <w:r w:rsidR="00CE0A4C">
        <w:rPr>
          <w:b/>
          <w:bCs/>
          <w:sz w:val="20"/>
          <w:szCs w:val="20"/>
        </w:rPr>
        <w:t xml:space="preserve"> </w:t>
      </w:r>
      <w:r w:rsidR="00571C50">
        <w:rPr>
          <w:b/>
          <w:bCs/>
          <w:sz w:val="20"/>
          <w:szCs w:val="20"/>
        </w:rPr>
        <w:t xml:space="preserve">strong </w:t>
      </w:r>
      <w:r w:rsidR="00CE0A4C">
        <w:rPr>
          <w:b/>
          <w:bCs/>
          <w:sz w:val="20"/>
          <w:szCs w:val="20"/>
        </w:rPr>
        <w:t>covariate</w:t>
      </w:r>
      <w:r w:rsidR="00571C50">
        <w:rPr>
          <w:b/>
          <w:bCs/>
          <w:sz w:val="20"/>
          <w:szCs w:val="20"/>
        </w:rPr>
        <w:t xml:space="preserve"> effect</w:t>
      </w:r>
    </w:p>
    <w:p w14:paraId="22BB4494" w14:textId="77777777" w:rsidR="00EC01FC" w:rsidRDefault="00EC01FC" w:rsidP="00EC01FC">
      <w:pPr>
        <w:pStyle w:val="NoSpacing"/>
      </w:pPr>
      <w:r>
        <w:rPr>
          <w:b/>
          <w:bCs/>
        </w:rPr>
        <w:t xml:space="preserve">Panels: </w:t>
      </w:r>
      <w:r w:rsidRPr="008F7919">
        <w:rPr>
          <w:b/>
          <w:bCs/>
        </w:rPr>
        <w:t>(</w:t>
      </w:r>
      <w:r>
        <w:rPr>
          <w:b/>
          <w:bCs/>
        </w:rPr>
        <w:t>left</w:t>
      </w:r>
      <w:r>
        <w:t>) false</w:t>
      </w:r>
      <w:r w:rsidRPr="008F7919">
        <w:t xml:space="preserve"> positive </w:t>
      </w:r>
      <w:r>
        <w:t xml:space="preserve">and </w:t>
      </w:r>
      <w:r w:rsidRPr="008F7919">
        <w:t>true positive rate; x-axis shows sample sizes in thousands</w:t>
      </w:r>
      <w:r>
        <w:t>,</w:t>
      </w:r>
      <w:r w:rsidRPr="008F7919">
        <w:t xml:space="preserve"> from 16=2</w:t>
      </w:r>
      <w:r w:rsidRPr="008F7919">
        <w:rPr>
          <w:vertAlign w:val="superscript"/>
        </w:rPr>
        <w:t>4</w:t>
      </w:r>
      <w:r w:rsidRPr="008F7919">
        <w:t xml:space="preserve"> to 65536=2</w:t>
      </w:r>
      <w:r w:rsidRPr="008F7919">
        <w:rPr>
          <w:vertAlign w:val="superscript"/>
        </w:rPr>
        <w:t>16</w:t>
      </w:r>
      <w:r w:rsidRPr="008F7919">
        <w:t xml:space="preserve">; y-axis </w:t>
      </w:r>
      <w:r>
        <w:t>shows</w:t>
      </w:r>
      <w:r w:rsidRPr="008F7919">
        <w:t xml:space="preserve"> false positive rate (column 1), or true positive rate (column 2-4). </w:t>
      </w:r>
      <w:r w:rsidRPr="008F7919">
        <w:rPr>
          <w:b/>
          <w:bCs/>
        </w:rPr>
        <w:t>(</w:t>
      </w:r>
      <w:r>
        <w:rPr>
          <w:b/>
          <w:bCs/>
        </w:rPr>
        <w:t>right</w:t>
      </w:r>
      <w:r w:rsidRPr="008F7919">
        <w:rPr>
          <w:b/>
          <w:bCs/>
        </w:rPr>
        <w:t>)</w:t>
      </w:r>
      <w:r w:rsidRPr="008F7919">
        <w:t xml:space="preserve"> </w:t>
      </w:r>
      <w:r>
        <w:t xml:space="preserve">y-axis shows </w:t>
      </w:r>
      <w:r w:rsidRPr="008F7919">
        <w:t xml:space="preserve">net positive rate, defined as true positive rate </w:t>
      </w:r>
      <w:r>
        <w:t>minus</w:t>
      </w:r>
      <w:r w:rsidRPr="008F7919">
        <w:t xml:space="preserve"> false positive rate.</w:t>
      </w:r>
      <w:r>
        <w:t xml:space="preserve"> </w:t>
      </w:r>
    </w:p>
    <w:p w14:paraId="79B85CDF" w14:textId="77777777" w:rsidR="00EF0FDB" w:rsidRDefault="00EF0FDB" w:rsidP="00EF0FDB">
      <w:pPr>
        <w:pStyle w:val="NoSpacing"/>
      </w:pPr>
      <w:r w:rsidRPr="00DE1E6F">
        <w:rPr>
          <w:b/>
          <w:bCs/>
        </w:rPr>
        <w:t>Rows:</w:t>
      </w:r>
      <w:r w:rsidRPr="00DE1E6F">
        <w:t xml:space="preserve"> </w:t>
      </w:r>
      <w:r>
        <w:t xml:space="preserve">ratio of case/control. </w:t>
      </w:r>
      <w:r w:rsidRPr="00DE1E6F">
        <w:rPr>
          <w:b/>
          <w:bCs/>
        </w:rPr>
        <w:t>(top)</w:t>
      </w:r>
      <w:r w:rsidRPr="00DE1E6F">
        <w:t xml:space="preserve"> balanced; </w:t>
      </w:r>
      <w:r w:rsidRPr="00DE1E6F">
        <w:rPr>
          <w:b/>
          <w:bCs/>
        </w:rPr>
        <w:t>(middle)</w:t>
      </w:r>
      <w:r w:rsidRPr="00DE1E6F">
        <w:t xml:space="preserve"> case rate is 22%; </w:t>
      </w:r>
      <w:r w:rsidRPr="00DE1E6F">
        <w:rPr>
          <w:b/>
          <w:bCs/>
        </w:rPr>
        <w:t xml:space="preserve">(bottom) </w:t>
      </w:r>
      <w:r w:rsidRPr="00DE1E6F">
        <w:t xml:space="preserve">case rate is 7.6%. </w:t>
      </w:r>
      <w:r w:rsidRPr="00DE1E6F">
        <w:rPr>
          <w:b/>
          <w:bCs/>
        </w:rPr>
        <w:t>Columns:</w:t>
      </w:r>
      <w:r w:rsidRPr="00DE1E6F">
        <w:t xml:space="preserve"> </w:t>
      </w:r>
      <w:r>
        <w:t xml:space="preserve">simulation scenarios </w:t>
      </w:r>
      <w:r w:rsidRPr="00DE1E6F">
        <w:rPr>
          <w:b/>
          <w:bCs/>
        </w:rPr>
        <w:t>(No GxE)</w:t>
      </w:r>
      <w:r>
        <w:t xml:space="preserve"> the null where the SNP is not a variance locus; </w:t>
      </w:r>
      <w:r w:rsidRPr="00DE1E6F">
        <w:rPr>
          <w:b/>
          <w:bCs/>
        </w:rPr>
        <w:t>(GxE Only)</w:t>
      </w:r>
      <w:r>
        <w:t xml:space="preserve"> the SNP is an additive variance locus induced by GxE, without </w:t>
      </w:r>
      <w:r>
        <w:lastRenderedPageBreak/>
        <w:t xml:space="preserve">environmental main effect; </w:t>
      </w:r>
      <w:r w:rsidRPr="008B37AD">
        <w:rPr>
          <w:b/>
          <w:bCs/>
        </w:rPr>
        <w:t>(Env + GxE)</w:t>
      </w:r>
      <w:r>
        <w:t xml:space="preserve"> the SNP is an is an GxE induced additive variance locus, with environmental main effect; </w:t>
      </w:r>
      <w:r w:rsidRPr="008B37AD">
        <w:rPr>
          <w:b/>
          <w:bCs/>
        </w:rPr>
        <w:t>(Multiplicative)</w:t>
      </w:r>
      <w:r>
        <w:t xml:space="preserve"> the SNP is an is a multiplicative variance locus.</w:t>
      </w:r>
    </w:p>
    <w:p w14:paraId="30CFD14C" w14:textId="661E4B4C" w:rsidR="00EF0FDB" w:rsidRDefault="00EF0FDB" w:rsidP="00EF0FDB">
      <w:pPr>
        <w:pStyle w:val="NoSpacing"/>
      </w:pPr>
      <w:r>
        <w:rPr>
          <w:b/>
          <w:bCs/>
        </w:rPr>
        <w:t>Colors:</w:t>
      </w:r>
      <w:r w:rsidRPr="00D41709">
        <w:t xml:space="preserve"> methods</w:t>
      </w:r>
      <w:r>
        <w:t>,</w:t>
      </w:r>
      <w:r>
        <w:rPr>
          <w:b/>
          <w:bCs/>
        </w:rPr>
        <w:t xml:space="preserve"> </w:t>
      </w:r>
      <w:r w:rsidRPr="00D41709">
        <w:rPr>
          <w:b/>
          <w:bCs/>
        </w:rPr>
        <w:t>(DLM)</w:t>
      </w:r>
      <w:r>
        <w:t xml:space="preserve"> </w:t>
      </w:r>
      <w:r w:rsidRPr="00E5614C">
        <w:t xml:space="preserve">double linear model; </w:t>
      </w:r>
      <w:r w:rsidRPr="00D41709">
        <w:rPr>
          <w:b/>
          <w:bCs/>
        </w:rPr>
        <w:t>(VLA)</w:t>
      </w:r>
      <w:r w:rsidRPr="00E5614C">
        <w:t xml:space="preserve"> variance locus analysis / curve upwardness test; </w:t>
      </w:r>
      <w:r w:rsidRPr="00D41709">
        <w:rPr>
          <w:b/>
          <w:bCs/>
        </w:rPr>
        <w:t>(LVT)</w:t>
      </w:r>
      <w:r>
        <w:t xml:space="preserve"> </w:t>
      </w:r>
      <w:r w:rsidRPr="00E5614C">
        <w:t xml:space="preserve">Levene’s test; </w:t>
      </w:r>
      <w:r w:rsidRPr="00D41709">
        <w:rPr>
          <w:b/>
          <w:bCs/>
        </w:rPr>
        <w:t>(DRM)</w:t>
      </w:r>
      <w:r>
        <w:t xml:space="preserve"> </w:t>
      </w:r>
      <w:r w:rsidRPr="00E5614C">
        <w:t>deviation regression model.</w:t>
      </w:r>
      <w:r>
        <w:t xml:space="preserve"> </w:t>
      </w:r>
      <w:r w:rsidRPr="00E17520">
        <w:rPr>
          <w:b/>
          <w:bCs/>
        </w:rPr>
        <w:t>Red dashed line:</w:t>
      </w:r>
      <w:r>
        <w:t xml:space="preserve"> expected false positive rates at the size of hypothesis testing (0.05). The false positive rate is inflated when the cases and controls were imbalanced.</w:t>
      </w:r>
    </w:p>
    <w:p w14:paraId="315C637B" w14:textId="77777777" w:rsidR="00AC5B84" w:rsidRDefault="00AC5B84" w:rsidP="00AC5B84">
      <w:r>
        <w:t>&lt;place holder: links to the R-script&gt;</w:t>
      </w:r>
    </w:p>
    <w:p w14:paraId="07A0CC61" w14:textId="5C783C54" w:rsidR="00163329" w:rsidRPr="00994789" w:rsidRDefault="00163329" w:rsidP="00163329">
      <w:pPr>
        <w:pStyle w:val="Heading3"/>
      </w:pPr>
      <w:r>
        <w:t>Binary phenotype, null covariate effect</w:t>
      </w:r>
    </w:p>
    <w:p w14:paraId="5716BAFC" w14:textId="2F9EEF08" w:rsidR="00CD225A" w:rsidRDefault="00970938" w:rsidP="00E203B6">
      <w:pPr>
        <w:pStyle w:val="NoSpacing"/>
        <w:jc w:val="center"/>
        <w:rPr>
          <w:b/>
          <w:bCs/>
          <w:sz w:val="22"/>
          <w:szCs w:val="22"/>
        </w:rPr>
      </w:pPr>
      <w:r>
        <w:rPr>
          <w:b/>
          <w:bCs/>
          <w:noProof/>
          <w:sz w:val="22"/>
          <w:szCs w:val="22"/>
        </w:rPr>
        <w:drawing>
          <wp:inline distT="0" distB="0" distL="0" distR="0" wp14:anchorId="1E0D830B" wp14:editId="7604A496">
            <wp:extent cx="3015355" cy="228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5355" cy="2286000"/>
                    </a:xfrm>
                    <a:prstGeom prst="rect">
                      <a:avLst/>
                    </a:prstGeom>
                  </pic:spPr>
                </pic:pic>
              </a:graphicData>
            </a:graphic>
          </wp:inline>
        </w:drawing>
      </w:r>
      <w:r>
        <w:rPr>
          <w:b/>
          <w:bCs/>
          <w:sz w:val="22"/>
          <w:szCs w:val="22"/>
        </w:rPr>
        <w:t xml:space="preserve">    </w:t>
      </w:r>
      <w:r w:rsidR="00EA6B8F">
        <w:rPr>
          <w:b/>
          <w:bCs/>
          <w:noProof/>
          <w:sz w:val="22"/>
          <w:szCs w:val="22"/>
        </w:rPr>
        <w:drawing>
          <wp:inline distT="0" distB="0" distL="0" distR="0" wp14:anchorId="1815258E" wp14:editId="0CC9E0DC">
            <wp:extent cx="2286000" cy="2286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3518B958" w14:textId="49A20E40" w:rsidR="00192438" w:rsidRPr="00CE0A4C" w:rsidRDefault="00192438" w:rsidP="00192438">
      <w:pPr>
        <w:pStyle w:val="NoSpacing"/>
        <w:jc w:val="center"/>
        <w:rPr>
          <w:b/>
          <w:bCs/>
          <w:sz w:val="20"/>
          <w:szCs w:val="20"/>
        </w:rPr>
      </w:pPr>
      <w:r w:rsidRPr="00CE0A4C">
        <w:rPr>
          <w:b/>
          <w:bCs/>
          <w:sz w:val="20"/>
          <w:szCs w:val="20"/>
        </w:rPr>
        <w:t>Figure s</w:t>
      </w:r>
      <w:r w:rsidR="00EF25BE">
        <w:rPr>
          <w:b/>
          <w:bCs/>
          <w:sz w:val="20"/>
          <w:szCs w:val="20"/>
        </w:rPr>
        <w:t>1c</w:t>
      </w:r>
      <w:r w:rsidRPr="00CE0A4C">
        <w:rPr>
          <w:b/>
          <w:bCs/>
          <w:sz w:val="20"/>
          <w:szCs w:val="20"/>
        </w:rPr>
        <w:t xml:space="preserve">: </w:t>
      </w:r>
      <w:r w:rsidR="00EF25BE">
        <w:rPr>
          <w:b/>
          <w:bCs/>
          <w:sz w:val="20"/>
          <w:szCs w:val="20"/>
        </w:rPr>
        <w:t>performance on s</w:t>
      </w:r>
      <w:r w:rsidRPr="00CE0A4C">
        <w:rPr>
          <w:b/>
          <w:bCs/>
          <w:sz w:val="20"/>
          <w:szCs w:val="20"/>
        </w:rPr>
        <w:t>imulat</w:t>
      </w:r>
      <w:r w:rsidR="00EF25BE">
        <w:rPr>
          <w:b/>
          <w:bCs/>
          <w:sz w:val="20"/>
          <w:szCs w:val="20"/>
        </w:rPr>
        <w:t>ed</w:t>
      </w:r>
      <w:r w:rsidRPr="00CE0A4C">
        <w:rPr>
          <w:b/>
          <w:bCs/>
          <w:sz w:val="20"/>
          <w:szCs w:val="20"/>
        </w:rPr>
        <w:t xml:space="preserve"> binary phenotype</w:t>
      </w:r>
      <w:r>
        <w:rPr>
          <w:b/>
          <w:bCs/>
          <w:sz w:val="20"/>
          <w:szCs w:val="20"/>
        </w:rPr>
        <w:t xml:space="preserve">, </w:t>
      </w:r>
      <w:r w:rsidR="00571C50">
        <w:rPr>
          <w:b/>
          <w:bCs/>
          <w:sz w:val="20"/>
          <w:szCs w:val="20"/>
        </w:rPr>
        <w:t xml:space="preserve">with </w:t>
      </w:r>
      <w:r w:rsidR="00B20B43">
        <w:rPr>
          <w:b/>
          <w:bCs/>
          <w:sz w:val="20"/>
          <w:szCs w:val="20"/>
        </w:rPr>
        <w:t>null</w:t>
      </w:r>
      <w:r>
        <w:rPr>
          <w:b/>
          <w:bCs/>
          <w:sz w:val="20"/>
          <w:szCs w:val="20"/>
        </w:rPr>
        <w:t xml:space="preserve"> covariate</w:t>
      </w:r>
      <w:r w:rsidR="00571C50">
        <w:rPr>
          <w:b/>
          <w:bCs/>
          <w:sz w:val="20"/>
          <w:szCs w:val="20"/>
        </w:rPr>
        <w:t xml:space="preserve"> effect</w:t>
      </w:r>
    </w:p>
    <w:p w14:paraId="300929D9" w14:textId="7686BCC5" w:rsidR="003D55FD" w:rsidRDefault="003D55FD" w:rsidP="003D55FD">
      <w:pPr>
        <w:pStyle w:val="NoSpacing"/>
      </w:pPr>
      <w:r>
        <w:rPr>
          <w:b/>
          <w:bCs/>
        </w:rPr>
        <w:t xml:space="preserve">Panels: </w:t>
      </w:r>
      <w:r w:rsidRPr="008F7919">
        <w:rPr>
          <w:b/>
          <w:bCs/>
        </w:rPr>
        <w:t>(</w:t>
      </w:r>
      <w:r>
        <w:rPr>
          <w:b/>
          <w:bCs/>
        </w:rPr>
        <w:t>left</w:t>
      </w:r>
      <w:r>
        <w:t>) false</w:t>
      </w:r>
      <w:r w:rsidRPr="008F7919">
        <w:t xml:space="preserve"> positive </w:t>
      </w:r>
      <w:r>
        <w:t xml:space="preserve">and </w:t>
      </w:r>
      <w:r w:rsidRPr="008F7919">
        <w:t>true positive rate; x-axis shows sample sizes in thousands</w:t>
      </w:r>
      <w:r>
        <w:t>,</w:t>
      </w:r>
      <w:r w:rsidRPr="008F7919">
        <w:t xml:space="preserve"> from 16=2</w:t>
      </w:r>
      <w:r w:rsidRPr="008F7919">
        <w:rPr>
          <w:vertAlign w:val="superscript"/>
        </w:rPr>
        <w:t>4</w:t>
      </w:r>
      <w:r w:rsidRPr="008F7919">
        <w:t xml:space="preserve"> to 65536=2</w:t>
      </w:r>
      <w:r w:rsidRPr="008F7919">
        <w:rPr>
          <w:vertAlign w:val="superscript"/>
        </w:rPr>
        <w:t>16</w:t>
      </w:r>
      <w:r w:rsidRPr="008F7919">
        <w:t xml:space="preserve">; y-axis </w:t>
      </w:r>
      <w:r>
        <w:t>shows</w:t>
      </w:r>
      <w:r w:rsidRPr="008F7919">
        <w:t xml:space="preserve"> false positive rate (column 1), or true positive rate (column 2-4). </w:t>
      </w:r>
      <w:r w:rsidRPr="008F7919">
        <w:rPr>
          <w:b/>
          <w:bCs/>
        </w:rPr>
        <w:t>(</w:t>
      </w:r>
      <w:r>
        <w:rPr>
          <w:b/>
          <w:bCs/>
        </w:rPr>
        <w:t>right</w:t>
      </w:r>
      <w:r w:rsidRPr="008F7919">
        <w:rPr>
          <w:b/>
          <w:bCs/>
        </w:rPr>
        <w:t>)</w:t>
      </w:r>
      <w:r w:rsidRPr="008F7919">
        <w:t xml:space="preserve"> </w:t>
      </w:r>
      <w:r w:rsidR="00EC01FC">
        <w:t xml:space="preserve">y-axis shows </w:t>
      </w:r>
      <w:r w:rsidRPr="008F7919">
        <w:t xml:space="preserve">net positive rate, defined as true positive rate </w:t>
      </w:r>
      <w:r w:rsidR="00EC01FC">
        <w:t>minus</w:t>
      </w:r>
      <w:r w:rsidRPr="008F7919">
        <w:t xml:space="preserve"> false positive rate.</w:t>
      </w:r>
      <w:r>
        <w:t xml:space="preserve"> </w:t>
      </w:r>
    </w:p>
    <w:p w14:paraId="72F01413" w14:textId="77777777" w:rsidR="00EF0FDB" w:rsidRDefault="00EF0FDB" w:rsidP="00EF0FDB">
      <w:pPr>
        <w:pStyle w:val="NoSpacing"/>
      </w:pPr>
      <w:r w:rsidRPr="00DE1E6F">
        <w:rPr>
          <w:b/>
          <w:bCs/>
        </w:rPr>
        <w:t>Rows:</w:t>
      </w:r>
      <w:r w:rsidRPr="00DE1E6F">
        <w:t xml:space="preserve"> </w:t>
      </w:r>
      <w:r>
        <w:t xml:space="preserve">ratio of case/control. </w:t>
      </w:r>
      <w:r w:rsidRPr="00DE1E6F">
        <w:rPr>
          <w:b/>
          <w:bCs/>
        </w:rPr>
        <w:t>(top)</w:t>
      </w:r>
      <w:r w:rsidRPr="00DE1E6F">
        <w:t xml:space="preserve"> balanced; </w:t>
      </w:r>
      <w:r w:rsidRPr="00DE1E6F">
        <w:rPr>
          <w:b/>
          <w:bCs/>
        </w:rPr>
        <w:t>(middle)</w:t>
      </w:r>
      <w:r w:rsidRPr="00DE1E6F">
        <w:t xml:space="preserve"> case rate is 22%; </w:t>
      </w:r>
      <w:r w:rsidRPr="00DE1E6F">
        <w:rPr>
          <w:b/>
          <w:bCs/>
        </w:rPr>
        <w:t xml:space="preserve">(bottom) </w:t>
      </w:r>
      <w:r w:rsidRPr="00DE1E6F">
        <w:t xml:space="preserve">case rate is 7.6%. </w:t>
      </w:r>
      <w:r w:rsidRPr="00DE1E6F">
        <w:rPr>
          <w:b/>
          <w:bCs/>
        </w:rPr>
        <w:t>Columns:</w:t>
      </w:r>
      <w:r w:rsidRPr="00DE1E6F">
        <w:t xml:space="preserve"> </w:t>
      </w:r>
      <w:r>
        <w:t xml:space="preserve">simulation scenarios </w:t>
      </w:r>
      <w:r w:rsidRPr="00DE1E6F">
        <w:rPr>
          <w:b/>
          <w:bCs/>
        </w:rPr>
        <w:t>(No GxE)</w:t>
      </w:r>
      <w:r>
        <w:t xml:space="preserve"> the null where the SNP is not a variance locus; </w:t>
      </w:r>
      <w:r w:rsidRPr="00DE1E6F">
        <w:rPr>
          <w:b/>
          <w:bCs/>
        </w:rPr>
        <w:t>(GxE Only)</w:t>
      </w:r>
      <w:r>
        <w:t xml:space="preserve"> the SNP is an additive variance locus induced by GxE, without environmental main effect; </w:t>
      </w:r>
      <w:r w:rsidRPr="008B37AD">
        <w:rPr>
          <w:b/>
          <w:bCs/>
        </w:rPr>
        <w:t>(Env + GxE)</w:t>
      </w:r>
      <w:r>
        <w:t xml:space="preserve"> the SNP is an is an GxE induced additive variance locus, with environmental main effect; </w:t>
      </w:r>
      <w:r w:rsidRPr="008B37AD">
        <w:rPr>
          <w:b/>
          <w:bCs/>
        </w:rPr>
        <w:t>(Multiplicative)</w:t>
      </w:r>
      <w:r>
        <w:t xml:space="preserve"> the SNP is an is a multiplicative variance locus.</w:t>
      </w:r>
    </w:p>
    <w:p w14:paraId="7F3F16A8" w14:textId="77777777" w:rsidR="00EF0FDB" w:rsidRDefault="00EF0FDB" w:rsidP="00EF0FDB">
      <w:pPr>
        <w:pStyle w:val="NoSpacing"/>
      </w:pPr>
      <w:r>
        <w:rPr>
          <w:b/>
          <w:bCs/>
        </w:rPr>
        <w:t>Colors:</w:t>
      </w:r>
      <w:r w:rsidRPr="00D41709">
        <w:t xml:space="preserve"> methods</w:t>
      </w:r>
      <w:r>
        <w:t>,</w:t>
      </w:r>
      <w:r>
        <w:rPr>
          <w:b/>
          <w:bCs/>
        </w:rPr>
        <w:t xml:space="preserve"> </w:t>
      </w:r>
      <w:r w:rsidRPr="00D41709">
        <w:rPr>
          <w:b/>
          <w:bCs/>
        </w:rPr>
        <w:t>(DLM)</w:t>
      </w:r>
      <w:r>
        <w:t xml:space="preserve"> </w:t>
      </w:r>
      <w:r w:rsidRPr="00E5614C">
        <w:t xml:space="preserve">double linear model; </w:t>
      </w:r>
      <w:r w:rsidRPr="00D41709">
        <w:rPr>
          <w:b/>
          <w:bCs/>
        </w:rPr>
        <w:t>(VLA)</w:t>
      </w:r>
      <w:r w:rsidRPr="00E5614C">
        <w:t xml:space="preserve"> variance locus analysis / curve upwardness test; </w:t>
      </w:r>
      <w:r w:rsidRPr="00D41709">
        <w:rPr>
          <w:b/>
          <w:bCs/>
        </w:rPr>
        <w:t>(LVT)</w:t>
      </w:r>
      <w:r>
        <w:t xml:space="preserve"> </w:t>
      </w:r>
      <w:r w:rsidRPr="00E5614C">
        <w:t xml:space="preserve">Levene’s test; </w:t>
      </w:r>
      <w:r w:rsidRPr="00D41709">
        <w:rPr>
          <w:b/>
          <w:bCs/>
        </w:rPr>
        <w:t>(DRM)</w:t>
      </w:r>
      <w:r>
        <w:t xml:space="preserve"> </w:t>
      </w:r>
      <w:r w:rsidRPr="00E5614C">
        <w:t>deviation regression model.</w:t>
      </w:r>
      <w:r>
        <w:t xml:space="preserve"> </w:t>
      </w:r>
      <w:r w:rsidRPr="00E17520">
        <w:rPr>
          <w:b/>
          <w:bCs/>
        </w:rPr>
        <w:t>Red dashed line:</w:t>
      </w:r>
      <w:r>
        <w:t xml:space="preserve"> expected false positive rates at the size of hypothesis testing (0.05). The false positive rate is inflated when the cases and controls were imbalanced.</w:t>
      </w:r>
    </w:p>
    <w:p w14:paraId="150EE4AD" w14:textId="463B7606" w:rsidR="00163329" w:rsidRDefault="00163329" w:rsidP="00163329">
      <w:r>
        <w:t>&lt;place holder: links to the R-script&gt;</w:t>
      </w:r>
    </w:p>
    <w:p w14:paraId="722B9673" w14:textId="5A6322D1" w:rsidR="006E2C0E" w:rsidRDefault="006E2C0E" w:rsidP="006E2C0E">
      <w:pPr>
        <w:pStyle w:val="Heading2"/>
      </w:pPr>
      <w:r>
        <w:t>Poisson Phenotype</w:t>
      </w:r>
    </w:p>
    <w:p w14:paraId="7EEAF54B" w14:textId="582F87A8" w:rsidR="006E28B9" w:rsidRDefault="006E28B9" w:rsidP="002964D8">
      <w:pPr>
        <w:pStyle w:val="NoSpacing"/>
        <w:jc w:val="center"/>
        <w:rPr>
          <w:b/>
          <w:bCs/>
          <w:sz w:val="20"/>
          <w:szCs w:val="20"/>
        </w:rPr>
      </w:pPr>
      <w:r>
        <w:rPr>
          <w:b/>
          <w:bCs/>
          <w:noProof/>
          <w:sz w:val="20"/>
          <w:szCs w:val="20"/>
        </w:rPr>
        <w:drawing>
          <wp:inline distT="0" distB="0" distL="0" distR="0" wp14:anchorId="41344EFC" wp14:editId="4FBBE39E">
            <wp:extent cx="3015355" cy="2286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5355" cy="2286000"/>
                    </a:xfrm>
                    <a:prstGeom prst="rect">
                      <a:avLst/>
                    </a:prstGeom>
                  </pic:spPr>
                </pic:pic>
              </a:graphicData>
            </a:graphic>
          </wp:inline>
        </w:drawing>
      </w:r>
      <w:r>
        <w:rPr>
          <w:b/>
          <w:bCs/>
          <w:sz w:val="20"/>
          <w:szCs w:val="20"/>
        </w:rPr>
        <w:t xml:space="preserve">    </w:t>
      </w:r>
      <w:r>
        <w:rPr>
          <w:b/>
          <w:bCs/>
          <w:noProof/>
          <w:sz w:val="20"/>
          <w:szCs w:val="20"/>
        </w:rPr>
        <w:drawing>
          <wp:inline distT="0" distB="0" distL="0" distR="0" wp14:anchorId="437173C9" wp14:editId="12FCAAC4">
            <wp:extent cx="2286000" cy="2286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5FC5AF57" w14:textId="0BBBDCF9" w:rsidR="002964D8" w:rsidRPr="00CE0A4C" w:rsidRDefault="002964D8" w:rsidP="002964D8">
      <w:pPr>
        <w:pStyle w:val="NoSpacing"/>
        <w:jc w:val="center"/>
        <w:rPr>
          <w:b/>
          <w:bCs/>
          <w:sz w:val="20"/>
          <w:szCs w:val="20"/>
        </w:rPr>
      </w:pPr>
      <w:r w:rsidRPr="00CE0A4C">
        <w:rPr>
          <w:b/>
          <w:bCs/>
          <w:sz w:val="20"/>
          <w:szCs w:val="20"/>
        </w:rPr>
        <w:t>Figure s</w:t>
      </w:r>
      <w:r w:rsidR="00EF25BE">
        <w:rPr>
          <w:b/>
          <w:bCs/>
          <w:sz w:val="20"/>
          <w:szCs w:val="20"/>
        </w:rPr>
        <w:t>1d</w:t>
      </w:r>
      <w:r w:rsidRPr="00CE0A4C">
        <w:rPr>
          <w:b/>
          <w:bCs/>
          <w:sz w:val="20"/>
          <w:szCs w:val="20"/>
        </w:rPr>
        <w:t xml:space="preserve">: </w:t>
      </w:r>
      <w:r w:rsidR="00EF25BE">
        <w:rPr>
          <w:b/>
          <w:bCs/>
          <w:sz w:val="20"/>
          <w:szCs w:val="20"/>
        </w:rPr>
        <w:t>performance on s</w:t>
      </w:r>
      <w:r w:rsidR="00EF25BE" w:rsidRPr="00CE0A4C">
        <w:rPr>
          <w:b/>
          <w:bCs/>
          <w:sz w:val="20"/>
          <w:szCs w:val="20"/>
        </w:rPr>
        <w:t>imulat</w:t>
      </w:r>
      <w:r w:rsidR="00EF25BE">
        <w:rPr>
          <w:b/>
          <w:bCs/>
          <w:sz w:val="20"/>
          <w:szCs w:val="20"/>
        </w:rPr>
        <w:t xml:space="preserve">ed </w:t>
      </w:r>
      <w:r>
        <w:rPr>
          <w:b/>
          <w:bCs/>
          <w:sz w:val="20"/>
          <w:szCs w:val="20"/>
        </w:rPr>
        <w:t xml:space="preserve">Poisson </w:t>
      </w:r>
      <w:r w:rsidRPr="00CE0A4C">
        <w:rPr>
          <w:b/>
          <w:bCs/>
          <w:sz w:val="20"/>
          <w:szCs w:val="20"/>
        </w:rPr>
        <w:t>phenotype</w:t>
      </w:r>
    </w:p>
    <w:p w14:paraId="39D1F790" w14:textId="77777777" w:rsidR="00EC01FC" w:rsidRDefault="00EC01FC" w:rsidP="00EC01FC">
      <w:pPr>
        <w:pStyle w:val="NoSpacing"/>
      </w:pPr>
      <w:r>
        <w:rPr>
          <w:b/>
          <w:bCs/>
        </w:rPr>
        <w:lastRenderedPageBreak/>
        <w:t xml:space="preserve">Panels: </w:t>
      </w:r>
      <w:r w:rsidRPr="008F7919">
        <w:rPr>
          <w:b/>
          <w:bCs/>
        </w:rPr>
        <w:t>(</w:t>
      </w:r>
      <w:r>
        <w:rPr>
          <w:b/>
          <w:bCs/>
        </w:rPr>
        <w:t>left</w:t>
      </w:r>
      <w:r>
        <w:t>) false</w:t>
      </w:r>
      <w:r w:rsidRPr="008F7919">
        <w:t xml:space="preserve"> positive </w:t>
      </w:r>
      <w:r>
        <w:t xml:space="preserve">and </w:t>
      </w:r>
      <w:r w:rsidRPr="008F7919">
        <w:t>true positive rate; x-axis shows sample sizes in thousands</w:t>
      </w:r>
      <w:r>
        <w:t>,</w:t>
      </w:r>
      <w:r w:rsidRPr="008F7919">
        <w:t xml:space="preserve"> from 16=2</w:t>
      </w:r>
      <w:r w:rsidRPr="008F7919">
        <w:rPr>
          <w:vertAlign w:val="superscript"/>
        </w:rPr>
        <w:t>4</w:t>
      </w:r>
      <w:r w:rsidRPr="008F7919">
        <w:t xml:space="preserve"> to 65536=2</w:t>
      </w:r>
      <w:r w:rsidRPr="008F7919">
        <w:rPr>
          <w:vertAlign w:val="superscript"/>
        </w:rPr>
        <w:t>16</w:t>
      </w:r>
      <w:r w:rsidRPr="008F7919">
        <w:t xml:space="preserve">; y-axis </w:t>
      </w:r>
      <w:r>
        <w:t>shows</w:t>
      </w:r>
      <w:r w:rsidRPr="008F7919">
        <w:t xml:space="preserve"> false positive rate (column 1), or true positive rate (column 2-4). </w:t>
      </w:r>
      <w:r w:rsidRPr="008F7919">
        <w:rPr>
          <w:b/>
          <w:bCs/>
        </w:rPr>
        <w:t>(</w:t>
      </w:r>
      <w:r>
        <w:rPr>
          <w:b/>
          <w:bCs/>
        </w:rPr>
        <w:t>right</w:t>
      </w:r>
      <w:r w:rsidRPr="008F7919">
        <w:rPr>
          <w:b/>
          <w:bCs/>
        </w:rPr>
        <w:t>)</w:t>
      </w:r>
      <w:r w:rsidRPr="008F7919">
        <w:t xml:space="preserve"> </w:t>
      </w:r>
      <w:r>
        <w:t xml:space="preserve">y-axis shows </w:t>
      </w:r>
      <w:r w:rsidRPr="008F7919">
        <w:t xml:space="preserve">net positive rate, defined as true positive rate </w:t>
      </w:r>
      <w:r>
        <w:t>minus</w:t>
      </w:r>
      <w:r w:rsidRPr="008F7919">
        <w:t xml:space="preserve"> false positive rate.</w:t>
      </w:r>
      <w:r>
        <w:t xml:space="preserve"> </w:t>
      </w:r>
    </w:p>
    <w:p w14:paraId="0D3AF28E" w14:textId="6BA7F8A8" w:rsidR="00EF0FDB" w:rsidRDefault="00D36A33" w:rsidP="00D36A33">
      <w:pPr>
        <w:pStyle w:val="NoSpacing"/>
      </w:pPr>
      <w:r w:rsidRPr="00DE1E6F">
        <w:rPr>
          <w:b/>
          <w:bCs/>
        </w:rPr>
        <w:t>Rows:</w:t>
      </w:r>
      <w:r w:rsidRPr="00DE1E6F">
        <w:t xml:space="preserve"> </w:t>
      </w:r>
      <w:r w:rsidR="00874B09">
        <w:t>proportion of zeros</w:t>
      </w:r>
      <w:r>
        <w:t xml:space="preserve">. </w:t>
      </w:r>
      <w:r w:rsidRPr="00DE1E6F">
        <w:rPr>
          <w:b/>
          <w:bCs/>
        </w:rPr>
        <w:t>(top)</w:t>
      </w:r>
      <w:r w:rsidRPr="00DE1E6F">
        <w:t xml:space="preserve"> balanced; </w:t>
      </w:r>
      <w:r w:rsidRPr="00DE1E6F">
        <w:rPr>
          <w:b/>
          <w:bCs/>
        </w:rPr>
        <w:t>(middle)</w:t>
      </w:r>
      <w:r w:rsidRPr="00DE1E6F">
        <w:t xml:space="preserve"> case rate is 22%; </w:t>
      </w:r>
      <w:r w:rsidRPr="00DE1E6F">
        <w:rPr>
          <w:b/>
          <w:bCs/>
        </w:rPr>
        <w:t xml:space="preserve">(bottom) </w:t>
      </w:r>
      <w:r w:rsidRPr="00DE1E6F">
        <w:t xml:space="preserve">case rate is 7.6%. </w:t>
      </w:r>
      <w:r w:rsidRPr="00DE1E6F">
        <w:rPr>
          <w:b/>
          <w:bCs/>
        </w:rPr>
        <w:t>Columns:</w:t>
      </w:r>
      <w:r w:rsidRPr="00DE1E6F">
        <w:t xml:space="preserve"> </w:t>
      </w:r>
      <w:r>
        <w:t>simulat</w:t>
      </w:r>
      <w:r w:rsidR="004C6298">
        <w:t>ed</w:t>
      </w:r>
      <w:r>
        <w:t xml:space="preserve"> scenarios</w:t>
      </w:r>
      <w:r w:rsidR="004C6298">
        <w:t>,</w:t>
      </w:r>
      <w:r>
        <w:t xml:space="preserve"> </w:t>
      </w:r>
      <w:r w:rsidRPr="00DE1E6F">
        <w:rPr>
          <w:b/>
          <w:bCs/>
        </w:rPr>
        <w:t>(No GxE)</w:t>
      </w:r>
      <w:r>
        <w:t xml:space="preserve"> the null where the SNP is not a variance locus; </w:t>
      </w:r>
      <w:r w:rsidRPr="00DE1E6F">
        <w:rPr>
          <w:b/>
          <w:bCs/>
        </w:rPr>
        <w:t>(GxE Only)</w:t>
      </w:r>
      <w:r>
        <w:t xml:space="preserve"> the SNP is an additive variance locus induced by GxE, without environmental main effect; </w:t>
      </w:r>
      <w:r w:rsidRPr="008B37AD">
        <w:rPr>
          <w:b/>
          <w:bCs/>
        </w:rPr>
        <w:t>(Env + GxE)</w:t>
      </w:r>
      <w:r>
        <w:t xml:space="preserve"> the SNP is an is an GxE induced additive variance locus, with environmental main effect; </w:t>
      </w:r>
      <w:r w:rsidRPr="008B37AD">
        <w:rPr>
          <w:b/>
          <w:bCs/>
        </w:rPr>
        <w:t>(Multiplicative)</w:t>
      </w:r>
      <w:r>
        <w:t xml:space="preserve"> the SNP is an is a multiplicative variance locus.</w:t>
      </w:r>
    </w:p>
    <w:p w14:paraId="7A19E6AC" w14:textId="77777777" w:rsidR="00893ABB" w:rsidRDefault="00D36A33" w:rsidP="00EF0FDB">
      <w:pPr>
        <w:pStyle w:val="NoSpacing"/>
      </w:pPr>
      <w:r>
        <w:rPr>
          <w:b/>
          <w:bCs/>
        </w:rPr>
        <w:t>Colors:</w:t>
      </w:r>
      <w:r w:rsidRPr="00D41709">
        <w:t xml:space="preserve"> methods</w:t>
      </w:r>
      <w:r w:rsidR="00EF0FDB">
        <w:t>,</w:t>
      </w:r>
      <w:r>
        <w:rPr>
          <w:b/>
          <w:bCs/>
        </w:rPr>
        <w:t xml:space="preserve"> </w:t>
      </w:r>
      <w:r w:rsidRPr="00D41709">
        <w:rPr>
          <w:b/>
          <w:bCs/>
        </w:rPr>
        <w:t>(DLM)</w:t>
      </w:r>
      <w:r>
        <w:t xml:space="preserve"> </w:t>
      </w:r>
      <w:r w:rsidRPr="00E5614C">
        <w:t xml:space="preserve">double linear model; </w:t>
      </w:r>
      <w:r w:rsidRPr="00D41709">
        <w:rPr>
          <w:b/>
          <w:bCs/>
        </w:rPr>
        <w:t>(VLA)</w:t>
      </w:r>
      <w:r w:rsidRPr="00E5614C">
        <w:t xml:space="preserve"> variance locus analysis / curve upwardness test; </w:t>
      </w:r>
      <w:r w:rsidRPr="00D41709">
        <w:rPr>
          <w:b/>
          <w:bCs/>
        </w:rPr>
        <w:t>(LVT)</w:t>
      </w:r>
      <w:r>
        <w:t xml:space="preserve"> </w:t>
      </w:r>
      <w:r w:rsidRPr="00E5614C">
        <w:t xml:space="preserve">Levene’s test; </w:t>
      </w:r>
      <w:r w:rsidRPr="00D41709">
        <w:rPr>
          <w:b/>
          <w:bCs/>
        </w:rPr>
        <w:t>(DRM)</w:t>
      </w:r>
      <w:r>
        <w:t xml:space="preserve"> </w:t>
      </w:r>
      <w:r w:rsidRPr="00E5614C">
        <w:t>deviation regression model.</w:t>
      </w:r>
      <w:r w:rsidR="00EF0FDB">
        <w:t xml:space="preserve"> </w:t>
      </w:r>
      <w:r w:rsidRPr="00E17520">
        <w:rPr>
          <w:b/>
          <w:bCs/>
        </w:rPr>
        <w:t>Red dashed line:</w:t>
      </w:r>
      <w:r>
        <w:t xml:space="preserve"> expected false positive rates at the size of hypothesis testing (0.05). The false positive rate is inflated when the cases and controls were imbalanced.</w:t>
      </w:r>
      <w:r w:rsidR="00BA41BD">
        <w:t xml:space="preserve"> </w:t>
      </w:r>
    </w:p>
    <w:p w14:paraId="4C615E79" w14:textId="2D859E62" w:rsidR="00B36177" w:rsidRDefault="00BA41BD" w:rsidP="00EF0FDB">
      <w:pPr>
        <w:pStyle w:val="NoSpacing"/>
      </w:pPr>
      <w:r w:rsidRPr="00893ABB">
        <w:rPr>
          <w:b/>
          <w:bCs/>
        </w:rPr>
        <w:t>Notice</w:t>
      </w:r>
      <w:r w:rsidR="001B6B1B">
        <w:t xml:space="preserve">, the false positive is </w:t>
      </w:r>
      <w:r w:rsidR="00893ABB">
        <w:t xml:space="preserve">still </w:t>
      </w:r>
      <w:r w:rsidR="001B6B1B">
        <w:t xml:space="preserve">inflated </w:t>
      </w:r>
      <w:r w:rsidR="0076202F">
        <w:t xml:space="preserve">even if the grand mean was of the Gaussian </w:t>
      </w:r>
      <w:r w:rsidR="00893ABB">
        <w:t>phenotype was 0 before it was transformed into the rate parameter of Poisson.</w:t>
      </w:r>
    </w:p>
    <w:p w14:paraId="23E1F5C6" w14:textId="77777777" w:rsidR="00CE7159" w:rsidRDefault="00CE7159" w:rsidP="00C77688">
      <w:pPr>
        <w:pStyle w:val="NoSpacing"/>
        <w:jc w:val="center"/>
      </w:pPr>
    </w:p>
    <w:p w14:paraId="5AAE0B69" w14:textId="517B3184" w:rsidR="00AC5B84" w:rsidRDefault="00AC5B84" w:rsidP="00AC5B84">
      <w:pPr>
        <w:pStyle w:val="Heading2"/>
      </w:pPr>
      <w:r>
        <w:t>Beta Phenotype</w:t>
      </w:r>
    </w:p>
    <w:p w14:paraId="4D001EFD" w14:textId="7CEDF0E4" w:rsidR="00D36A33" w:rsidRDefault="00182587" w:rsidP="00C77688">
      <w:pPr>
        <w:pStyle w:val="NoSpacing"/>
        <w:jc w:val="center"/>
      </w:pPr>
      <w:r>
        <w:rPr>
          <w:noProof/>
        </w:rPr>
        <w:drawing>
          <wp:inline distT="0" distB="0" distL="0" distR="0" wp14:anchorId="356789B5" wp14:editId="5C613DB0">
            <wp:extent cx="3153935" cy="8686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53935" cy="868680"/>
                    </a:xfrm>
                    <a:prstGeom prst="rect">
                      <a:avLst/>
                    </a:prstGeom>
                  </pic:spPr>
                </pic:pic>
              </a:graphicData>
            </a:graphic>
          </wp:inline>
        </w:drawing>
      </w:r>
      <w:r w:rsidR="00C77688">
        <w:t xml:space="preserve">    </w:t>
      </w:r>
      <w:r w:rsidR="00DC279F">
        <w:rPr>
          <w:noProof/>
        </w:rPr>
        <w:drawing>
          <wp:inline distT="0" distB="0" distL="0" distR="0" wp14:anchorId="613B0A93" wp14:editId="754E2E77">
            <wp:extent cx="2390722" cy="868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0722" cy="868680"/>
                    </a:xfrm>
                    <a:prstGeom prst="rect">
                      <a:avLst/>
                    </a:prstGeom>
                  </pic:spPr>
                </pic:pic>
              </a:graphicData>
            </a:graphic>
          </wp:inline>
        </w:drawing>
      </w:r>
    </w:p>
    <w:p w14:paraId="1E743A37" w14:textId="7C631A76" w:rsidR="005004CF" w:rsidRPr="00CE0A4C" w:rsidRDefault="005004CF" w:rsidP="005004CF">
      <w:pPr>
        <w:pStyle w:val="NoSpacing"/>
        <w:jc w:val="center"/>
        <w:rPr>
          <w:b/>
          <w:bCs/>
          <w:sz w:val="20"/>
          <w:szCs w:val="20"/>
        </w:rPr>
      </w:pPr>
      <w:r w:rsidRPr="00CE0A4C">
        <w:rPr>
          <w:b/>
          <w:bCs/>
          <w:sz w:val="20"/>
          <w:szCs w:val="20"/>
        </w:rPr>
        <w:t>Figure s</w:t>
      </w:r>
      <w:r w:rsidR="008466BC">
        <w:rPr>
          <w:b/>
          <w:bCs/>
          <w:sz w:val="20"/>
          <w:szCs w:val="20"/>
        </w:rPr>
        <w:t>4</w:t>
      </w:r>
      <w:r>
        <w:rPr>
          <w:b/>
          <w:bCs/>
          <w:sz w:val="20"/>
          <w:szCs w:val="20"/>
        </w:rPr>
        <w:t>a</w:t>
      </w:r>
      <w:r w:rsidRPr="00CE0A4C">
        <w:rPr>
          <w:b/>
          <w:bCs/>
          <w:sz w:val="20"/>
          <w:szCs w:val="20"/>
        </w:rPr>
        <w:t xml:space="preserve">: Simulation Studies for </w:t>
      </w:r>
      <w:r w:rsidR="008466BC">
        <w:rPr>
          <w:b/>
          <w:bCs/>
          <w:sz w:val="20"/>
          <w:szCs w:val="20"/>
        </w:rPr>
        <w:t>Beta distributed</w:t>
      </w:r>
      <w:r w:rsidRPr="00CE0A4C">
        <w:rPr>
          <w:b/>
          <w:bCs/>
          <w:sz w:val="20"/>
          <w:szCs w:val="20"/>
        </w:rPr>
        <w:t xml:space="preserve"> phenotype</w:t>
      </w:r>
    </w:p>
    <w:p w14:paraId="6BEA0B3F" w14:textId="77777777" w:rsidR="005004CF" w:rsidRDefault="005004CF" w:rsidP="005004CF">
      <w:pPr>
        <w:pStyle w:val="NoSpacing"/>
      </w:pPr>
      <w:r>
        <w:rPr>
          <w:b/>
          <w:bCs/>
        </w:rPr>
        <w:t xml:space="preserve">Panels: </w:t>
      </w:r>
      <w:r w:rsidRPr="008F7919">
        <w:rPr>
          <w:b/>
          <w:bCs/>
        </w:rPr>
        <w:t>(</w:t>
      </w:r>
      <w:r>
        <w:rPr>
          <w:b/>
          <w:bCs/>
        </w:rPr>
        <w:t>left</w:t>
      </w:r>
      <w:r>
        <w:t>) false</w:t>
      </w:r>
      <w:r w:rsidRPr="008F7919">
        <w:t xml:space="preserve"> positive </w:t>
      </w:r>
      <w:r>
        <w:t xml:space="preserve">and </w:t>
      </w:r>
      <w:r w:rsidRPr="008F7919">
        <w:t>true positive rate; x-axis shows sample sizes in thousands</w:t>
      </w:r>
      <w:r>
        <w:t>,</w:t>
      </w:r>
      <w:r w:rsidRPr="008F7919">
        <w:t xml:space="preserve"> from 16=2</w:t>
      </w:r>
      <w:r w:rsidRPr="008F7919">
        <w:rPr>
          <w:vertAlign w:val="superscript"/>
        </w:rPr>
        <w:t>4</w:t>
      </w:r>
      <w:r w:rsidRPr="008F7919">
        <w:t xml:space="preserve"> to 65536=2</w:t>
      </w:r>
      <w:r w:rsidRPr="008F7919">
        <w:rPr>
          <w:vertAlign w:val="superscript"/>
        </w:rPr>
        <w:t>16</w:t>
      </w:r>
      <w:r w:rsidRPr="008F7919">
        <w:t xml:space="preserve">; y-axis </w:t>
      </w:r>
      <w:r>
        <w:t>shows</w:t>
      </w:r>
      <w:r w:rsidRPr="008F7919">
        <w:t xml:space="preserve"> false positive rate (column 1), or true positive rate (column 2-4). </w:t>
      </w:r>
      <w:r w:rsidRPr="008F7919">
        <w:rPr>
          <w:b/>
          <w:bCs/>
        </w:rPr>
        <w:t>(</w:t>
      </w:r>
      <w:r>
        <w:rPr>
          <w:b/>
          <w:bCs/>
        </w:rPr>
        <w:t>right</w:t>
      </w:r>
      <w:r w:rsidRPr="008F7919">
        <w:rPr>
          <w:b/>
          <w:bCs/>
        </w:rPr>
        <w:t>)</w:t>
      </w:r>
      <w:r w:rsidRPr="008F7919">
        <w:t xml:space="preserve"> </w:t>
      </w:r>
      <w:r>
        <w:t xml:space="preserve">y-axis shows </w:t>
      </w:r>
      <w:r w:rsidRPr="008F7919">
        <w:t xml:space="preserve">net positive rate, defined as true positive rate </w:t>
      </w:r>
      <w:r>
        <w:t>minus</w:t>
      </w:r>
      <w:r w:rsidRPr="008F7919">
        <w:t xml:space="preserve"> false positive rate.</w:t>
      </w:r>
      <w:r>
        <w:t xml:space="preserve"> </w:t>
      </w:r>
    </w:p>
    <w:p w14:paraId="0CBE63BB" w14:textId="77777777" w:rsidR="005004CF" w:rsidRDefault="005004CF" w:rsidP="005004CF">
      <w:pPr>
        <w:pStyle w:val="NoSpacing"/>
      </w:pPr>
      <w:r w:rsidRPr="00DE1E6F">
        <w:rPr>
          <w:b/>
          <w:bCs/>
        </w:rPr>
        <w:t>Columns:</w:t>
      </w:r>
      <w:r w:rsidRPr="00DE1E6F">
        <w:t xml:space="preserve"> </w:t>
      </w:r>
      <w:r>
        <w:t xml:space="preserve">simulation scenarios </w:t>
      </w:r>
      <w:r w:rsidRPr="00DE1E6F">
        <w:rPr>
          <w:b/>
          <w:bCs/>
        </w:rPr>
        <w:t>(No GxE)</w:t>
      </w:r>
      <w:r>
        <w:t xml:space="preserve"> the null where the SNP is not a variance locus; </w:t>
      </w:r>
      <w:r w:rsidRPr="00DE1E6F">
        <w:rPr>
          <w:b/>
          <w:bCs/>
        </w:rPr>
        <w:t>(GxE Only)</w:t>
      </w:r>
      <w:r>
        <w:t xml:space="preserve"> the SNP is an additive variance locus induced by GxE, without environmental main effect; </w:t>
      </w:r>
      <w:r w:rsidRPr="008B37AD">
        <w:rPr>
          <w:b/>
          <w:bCs/>
        </w:rPr>
        <w:t>(Env + GxE)</w:t>
      </w:r>
      <w:r>
        <w:t xml:space="preserve"> the SNP is an is an GxE induced additive variance locus, with environmental main effect; </w:t>
      </w:r>
      <w:r w:rsidRPr="008B37AD">
        <w:rPr>
          <w:b/>
          <w:bCs/>
        </w:rPr>
        <w:t>(Multiplicative)</w:t>
      </w:r>
      <w:r>
        <w:t xml:space="preserve"> the SNP is an is a multiplicative variance locus.</w:t>
      </w:r>
    </w:p>
    <w:p w14:paraId="7F04A983" w14:textId="00FB2BA3" w:rsidR="005004CF" w:rsidRDefault="005004CF" w:rsidP="005004CF">
      <w:pPr>
        <w:pStyle w:val="NoSpacing"/>
      </w:pPr>
      <w:r>
        <w:rPr>
          <w:b/>
          <w:bCs/>
        </w:rPr>
        <w:t>Colors:</w:t>
      </w:r>
      <w:r w:rsidRPr="00D41709">
        <w:t xml:space="preserve"> methods</w:t>
      </w:r>
      <w:r>
        <w:t>,</w:t>
      </w:r>
      <w:r>
        <w:rPr>
          <w:b/>
          <w:bCs/>
        </w:rPr>
        <w:t xml:space="preserve"> </w:t>
      </w:r>
      <w:r w:rsidRPr="00D41709">
        <w:rPr>
          <w:b/>
          <w:bCs/>
        </w:rPr>
        <w:t>(DLM)</w:t>
      </w:r>
      <w:r>
        <w:t xml:space="preserve"> </w:t>
      </w:r>
      <w:r w:rsidRPr="00E5614C">
        <w:t xml:space="preserve">double linear model; </w:t>
      </w:r>
      <w:r w:rsidRPr="00D41709">
        <w:rPr>
          <w:b/>
          <w:bCs/>
        </w:rPr>
        <w:t>(VLA)</w:t>
      </w:r>
      <w:r w:rsidRPr="00E5614C">
        <w:t xml:space="preserve"> variance locus analysis / curve upwardness test; </w:t>
      </w:r>
      <w:r w:rsidRPr="00D41709">
        <w:rPr>
          <w:b/>
          <w:bCs/>
        </w:rPr>
        <w:t>(LVT)</w:t>
      </w:r>
      <w:r>
        <w:t xml:space="preserve"> </w:t>
      </w:r>
      <w:r w:rsidRPr="00E5614C">
        <w:t xml:space="preserve">Levene’s test; </w:t>
      </w:r>
      <w:r w:rsidRPr="00D41709">
        <w:rPr>
          <w:b/>
          <w:bCs/>
        </w:rPr>
        <w:t>(DRM)</w:t>
      </w:r>
      <w:r>
        <w:t xml:space="preserve"> </w:t>
      </w:r>
      <w:r w:rsidRPr="00E5614C">
        <w:t>deviation regression model.</w:t>
      </w:r>
      <w:r>
        <w:t xml:space="preserve"> </w:t>
      </w:r>
      <w:r w:rsidRPr="00E17520">
        <w:rPr>
          <w:b/>
          <w:bCs/>
        </w:rPr>
        <w:t>Red dashed line:</w:t>
      </w:r>
      <w:r>
        <w:t xml:space="preserve"> expected false positive rates at the size of hypothesis testing (0.05). The false positive rate is inflated when the cases and controls were imbalanced.</w:t>
      </w:r>
    </w:p>
    <w:p w14:paraId="3EC5CEFA" w14:textId="67549BA8" w:rsidR="008466BC" w:rsidRDefault="008466BC" w:rsidP="005004CF">
      <w:pPr>
        <w:pStyle w:val="NoSpacing"/>
      </w:pPr>
      <w:r>
        <w:t>The beta distributed phenotype was generated by passing a Gaussian phenotype to sigmoid function.</w:t>
      </w:r>
    </w:p>
    <w:sectPr w:rsidR="00846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ms Rmn">
    <w:panose1 w:val="0202060304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6ED"/>
    <w:multiLevelType w:val="hybridMultilevel"/>
    <w:tmpl w:val="0F70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A74A7"/>
    <w:multiLevelType w:val="hybridMultilevel"/>
    <w:tmpl w:val="D2849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42A1D"/>
    <w:multiLevelType w:val="hybridMultilevel"/>
    <w:tmpl w:val="FD5A0C36"/>
    <w:lvl w:ilvl="0" w:tplc="D2E643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B3A70"/>
    <w:multiLevelType w:val="hybridMultilevel"/>
    <w:tmpl w:val="3D5C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34439"/>
    <w:multiLevelType w:val="hybridMultilevel"/>
    <w:tmpl w:val="F312B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07C43"/>
    <w:multiLevelType w:val="hybridMultilevel"/>
    <w:tmpl w:val="B5E46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5A697D"/>
    <w:multiLevelType w:val="hybridMultilevel"/>
    <w:tmpl w:val="15466FEC"/>
    <w:lvl w:ilvl="0" w:tplc="B0F4ECA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705EE"/>
    <w:multiLevelType w:val="hybridMultilevel"/>
    <w:tmpl w:val="5DCC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22261"/>
    <w:multiLevelType w:val="hybridMultilevel"/>
    <w:tmpl w:val="2D36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7"/>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6F"/>
    <w:rsid w:val="00015969"/>
    <w:rsid w:val="0007247D"/>
    <w:rsid w:val="000919B9"/>
    <w:rsid w:val="000E2C33"/>
    <w:rsid w:val="00114824"/>
    <w:rsid w:val="00163329"/>
    <w:rsid w:val="00182587"/>
    <w:rsid w:val="00192438"/>
    <w:rsid w:val="001B6B1B"/>
    <w:rsid w:val="001D3E88"/>
    <w:rsid w:val="002964D8"/>
    <w:rsid w:val="003220AD"/>
    <w:rsid w:val="003510DA"/>
    <w:rsid w:val="003813E9"/>
    <w:rsid w:val="003D55FD"/>
    <w:rsid w:val="004628BE"/>
    <w:rsid w:val="0048289B"/>
    <w:rsid w:val="004908F7"/>
    <w:rsid w:val="004C6298"/>
    <w:rsid w:val="005004CF"/>
    <w:rsid w:val="005240B9"/>
    <w:rsid w:val="00530369"/>
    <w:rsid w:val="00562706"/>
    <w:rsid w:val="00571C50"/>
    <w:rsid w:val="005744A1"/>
    <w:rsid w:val="0058796F"/>
    <w:rsid w:val="005C50A7"/>
    <w:rsid w:val="005E1B24"/>
    <w:rsid w:val="005E7316"/>
    <w:rsid w:val="0063670E"/>
    <w:rsid w:val="0064621C"/>
    <w:rsid w:val="00655090"/>
    <w:rsid w:val="00673F81"/>
    <w:rsid w:val="006E28B9"/>
    <w:rsid w:val="006E2C0E"/>
    <w:rsid w:val="006E513D"/>
    <w:rsid w:val="007122EA"/>
    <w:rsid w:val="00721566"/>
    <w:rsid w:val="0076202F"/>
    <w:rsid w:val="00787F83"/>
    <w:rsid w:val="00794114"/>
    <w:rsid w:val="007D3053"/>
    <w:rsid w:val="007F3C26"/>
    <w:rsid w:val="008400D3"/>
    <w:rsid w:val="008466BC"/>
    <w:rsid w:val="0086332F"/>
    <w:rsid w:val="00874B09"/>
    <w:rsid w:val="008776FE"/>
    <w:rsid w:val="00893ABB"/>
    <w:rsid w:val="008B37AD"/>
    <w:rsid w:val="008F58F4"/>
    <w:rsid w:val="008F7919"/>
    <w:rsid w:val="009130A9"/>
    <w:rsid w:val="00922175"/>
    <w:rsid w:val="00970938"/>
    <w:rsid w:val="00994789"/>
    <w:rsid w:val="009C0D6F"/>
    <w:rsid w:val="00A304F0"/>
    <w:rsid w:val="00AC5B84"/>
    <w:rsid w:val="00AF3949"/>
    <w:rsid w:val="00B10E4A"/>
    <w:rsid w:val="00B20B43"/>
    <w:rsid w:val="00B36177"/>
    <w:rsid w:val="00B778A0"/>
    <w:rsid w:val="00BA3AF0"/>
    <w:rsid w:val="00BA41BD"/>
    <w:rsid w:val="00BC5BA8"/>
    <w:rsid w:val="00BD0352"/>
    <w:rsid w:val="00BF1ADC"/>
    <w:rsid w:val="00C17497"/>
    <w:rsid w:val="00C407F0"/>
    <w:rsid w:val="00C709FF"/>
    <w:rsid w:val="00C77688"/>
    <w:rsid w:val="00CC0B5A"/>
    <w:rsid w:val="00CD225A"/>
    <w:rsid w:val="00CE0A4C"/>
    <w:rsid w:val="00CE7159"/>
    <w:rsid w:val="00D035B7"/>
    <w:rsid w:val="00D31E8A"/>
    <w:rsid w:val="00D36A33"/>
    <w:rsid w:val="00D41709"/>
    <w:rsid w:val="00D86D98"/>
    <w:rsid w:val="00DB663D"/>
    <w:rsid w:val="00DC279F"/>
    <w:rsid w:val="00DC4D30"/>
    <w:rsid w:val="00DE1E6F"/>
    <w:rsid w:val="00DF3B83"/>
    <w:rsid w:val="00E17520"/>
    <w:rsid w:val="00E203B6"/>
    <w:rsid w:val="00E45B35"/>
    <w:rsid w:val="00E57343"/>
    <w:rsid w:val="00E830BB"/>
    <w:rsid w:val="00EA6B8F"/>
    <w:rsid w:val="00EC01FC"/>
    <w:rsid w:val="00EC78FE"/>
    <w:rsid w:val="00EF0FDB"/>
    <w:rsid w:val="00EF25BE"/>
    <w:rsid w:val="00F1071D"/>
    <w:rsid w:val="00F129D6"/>
    <w:rsid w:val="00F450A7"/>
    <w:rsid w:val="00F5084C"/>
    <w:rsid w:val="00F77413"/>
    <w:rsid w:val="00FB0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DF31"/>
  <w15:chartTrackingRefBased/>
  <w15:docId w15:val="{E5646E65-5E27-5747-A537-15A0FCD6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D6F"/>
    <w:pPr>
      <w:spacing w:after="160" w:line="259" w:lineRule="auto"/>
      <w:jc w:val="both"/>
    </w:pPr>
    <w:rPr>
      <w:sz w:val="22"/>
      <w:szCs w:val="22"/>
    </w:rPr>
  </w:style>
  <w:style w:type="paragraph" w:styleId="Heading1">
    <w:name w:val="heading 1"/>
    <w:basedOn w:val="Normal"/>
    <w:next w:val="Normal"/>
    <w:link w:val="Heading1Char"/>
    <w:uiPriority w:val="9"/>
    <w:qFormat/>
    <w:rsid w:val="00D86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0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30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30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E0A4C"/>
    <w:pPr>
      <w:spacing w:after="0" w:line="240" w:lineRule="auto"/>
    </w:pPr>
    <w:rPr>
      <w:sz w:val="18"/>
      <w:szCs w:val="18"/>
    </w:rPr>
  </w:style>
  <w:style w:type="paragraph" w:styleId="ListParagraph">
    <w:name w:val="List Paragraph"/>
    <w:basedOn w:val="Normal"/>
    <w:uiPriority w:val="34"/>
    <w:qFormat/>
    <w:rsid w:val="009C0D6F"/>
    <w:pPr>
      <w:ind w:left="720"/>
      <w:contextualSpacing/>
    </w:pPr>
  </w:style>
  <w:style w:type="character" w:customStyle="1" w:styleId="Heading1Char">
    <w:name w:val="Heading 1 Char"/>
    <w:basedOn w:val="DefaultParagraphFont"/>
    <w:link w:val="Heading1"/>
    <w:uiPriority w:val="9"/>
    <w:rsid w:val="00D86D9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86D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D9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30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30B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830BB"/>
    <w:rPr>
      <w:rFonts w:asciiTheme="majorHAnsi" w:eastAsiaTheme="majorEastAsia" w:hAnsiTheme="majorHAnsi" w:cstheme="majorBidi"/>
      <w:i/>
      <w:iCs/>
      <w:color w:val="2F5496" w:themeColor="accent1" w:themeShade="BF"/>
      <w:sz w:val="22"/>
      <w:szCs w:val="22"/>
    </w:rPr>
  </w:style>
  <w:style w:type="paragraph" w:styleId="Date">
    <w:name w:val="Date"/>
    <w:basedOn w:val="Normal"/>
    <w:next w:val="Normal"/>
    <w:link w:val="DateChar"/>
    <w:uiPriority w:val="99"/>
    <w:semiHidden/>
    <w:unhideWhenUsed/>
    <w:rsid w:val="00E830BB"/>
  </w:style>
  <w:style w:type="character" w:customStyle="1" w:styleId="DateChar">
    <w:name w:val="Date Char"/>
    <w:basedOn w:val="DefaultParagraphFont"/>
    <w:link w:val="Date"/>
    <w:uiPriority w:val="99"/>
    <w:semiHidden/>
    <w:rsid w:val="00E830BB"/>
    <w:rPr>
      <w:sz w:val="22"/>
      <w:szCs w:val="22"/>
    </w:rPr>
  </w:style>
  <w:style w:type="character" w:styleId="CommentReference">
    <w:name w:val="annotation reference"/>
    <w:basedOn w:val="DefaultParagraphFont"/>
    <w:uiPriority w:val="99"/>
    <w:semiHidden/>
    <w:unhideWhenUsed/>
    <w:rsid w:val="00E830BB"/>
    <w:rPr>
      <w:sz w:val="16"/>
      <w:szCs w:val="16"/>
    </w:rPr>
  </w:style>
  <w:style w:type="paragraph" w:styleId="CommentText">
    <w:name w:val="annotation text"/>
    <w:basedOn w:val="Normal"/>
    <w:link w:val="CommentTextChar"/>
    <w:uiPriority w:val="99"/>
    <w:semiHidden/>
    <w:unhideWhenUsed/>
    <w:rsid w:val="00E830BB"/>
    <w:pPr>
      <w:spacing w:line="240" w:lineRule="auto"/>
    </w:pPr>
    <w:rPr>
      <w:sz w:val="20"/>
      <w:szCs w:val="20"/>
    </w:rPr>
  </w:style>
  <w:style w:type="character" w:customStyle="1" w:styleId="CommentTextChar">
    <w:name w:val="Comment Text Char"/>
    <w:basedOn w:val="DefaultParagraphFont"/>
    <w:link w:val="CommentText"/>
    <w:uiPriority w:val="99"/>
    <w:semiHidden/>
    <w:rsid w:val="00E830BB"/>
    <w:rPr>
      <w:sz w:val="20"/>
      <w:szCs w:val="20"/>
    </w:rPr>
  </w:style>
  <w:style w:type="paragraph" w:styleId="CommentSubject">
    <w:name w:val="annotation subject"/>
    <w:basedOn w:val="CommentText"/>
    <w:next w:val="CommentText"/>
    <w:link w:val="CommentSubjectChar"/>
    <w:uiPriority w:val="99"/>
    <w:semiHidden/>
    <w:unhideWhenUsed/>
    <w:rsid w:val="00E830BB"/>
    <w:rPr>
      <w:b/>
      <w:bCs/>
    </w:rPr>
  </w:style>
  <w:style w:type="character" w:customStyle="1" w:styleId="CommentSubjectChar">
    <w:name w:val="Comment Subject Char"/>
    <w:basedOn w:val="CommentTextChar"/>
    <w:link w:val="CommentSubject"/>
    <w:uiPriority w:val="99"/>
    <w:semiHidden/>
    <w:rsid w:val="00E830BB"/>
    <w:rPr>
      <w:b/>
      <w:bCs/>
      <w:sz w:val="20"/>
      <w:szCs w:val="20"/>
    </w:rPr>
  </w:style>
  <w:style w:type="paragraph" w:styleId="BalloonText">
    <w:name w:val="Balloon Text"/>
    <w:basedOn w:val="Normal"/>
    <w:link w:val="BalloonTextChar"/>
    <w:uiPriority w:val="99"/>
    <w:semiHidden/>
    <w:unhideWhenUsed/>
    <w:rsid w:val="00E830BB"/>
    <w:pPr>
      <w:spacing w:after="0" w:line="240" w:lineRule="auto"/>
    </w:pPr>
    <w:rPr>
      <w:rFonts w:ascii="Tms Rmn" w:hAnsi="Tms Rmn" w:cs="Tms Rmn"/>
      <w:sz w:val="18"/>
      <w:szCs w:val="18"/>
    </w:rPr>
  </w:style>
  <w:style w:type="character" w:customStyle="1" w:styleId="BalloonTextChar">
    <w:name w:val="Balloon Text Char"/>
    <w:basedOn w:val="DefaultParagraphFont"/>
    <w:link w:val="BalloonText"/>
    <w:uiPriority w:val="99"/>
    <w:semiHidden/>
    <w:rsid w:val="00E830BB"/>
    <w:rPr>
      <w:rFonts w:ascii="Tms Rmn" w:hAnsi="Tms Rmn" w:cs="Tms Rmn"/>
      <w:sz w:val="18"/>
      <w:szCs w:val="18"/>
    </w:rPr>
  </w:style>
  <w:style w:type="character" w:styleId="Hyperlink">
    <w:name w:val="Hyperlink"/>
    <w:basedOn w:val="DefaultParagraphFont"/>
    <w:uiPriority w:val="99"/>
    <w:unhideWhenUsed/>
    <w:rsid w:val="00E830BB"/>
    <w:rPr>
      <w:color w:val="0563C1" w:themeColor="hyperlink"/>
      <w:u w:val="single"/>
    </w:rPr>
  </w:style>
  <w:style w:type="character" w:styleId="UnresolvedMention">
    <w:name w:val="Unresolved Mention"/>
    <w:basedOn w:val="DefaultParagraphFont"/>
    <w:uiPriority w:val="99"/>
    <w:semiHidden/>
    <w:unhideWhenUsed/>
    <w:rsid w:val="00E830BB"/>
    <w:rPr>
      <w:color w:val="605E5C"/>
      <w:shd w:val="clear" w:color="auto" w:fill="E1DFDD"/>
    </w:rPr>
  </w:style>
  <w:style w:type="character" w:styleId="FollowedHyperlink">
    <w:name w:val="FollowedHyperlink"/>
    <w:basedOn w:val="DefaultParagraphFont"/>
    <w:uiPriority w:val="99"/>
    <w:semiHidden/>
    <w:unhideWhenUsed/>
    <w:rsid w:val="00E830BB"/>
    <w:rPr>
      <w:color w:val="954F72" w:themeColor="followedHyperlink"/>
      <w:u w:val="single"/>
    </w:rPr>
  </w:style>
  <w:style w:type="paragraph" w:styleId="FootnoteText">
    <w:name w:val="footnote text"/>
    <w:basedOn w:val="Normal"/>
    <w:link w:val="FootnoteTextChar"/>
    <w:uiPriority w:val="99"/>
    <w:semiHidden/>
    <w:unhideWhenUsed/>
    <w:rsid w:val="00E830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0BB"/>
    <w:rPr>
      <w:sz w:val="20"/>
      <w:szCs w:val="20"/>
    </w:rPr>
  </w:style>
  <w:style w:type="character" w:styleId="FootnoteReference">
    <w:name w:val="footnote reference"/>
    <w:basedOn w:val="DefaultParagraphFont"/>
    <w:uiPriority w:val="99"/>
    <w:semiHidden/>
    <w:unhideWhenUsed/>
    <w:rsid w:val="00E830BB"/>
    <w:rPr>
      <w:vertAlign w:val="superscript"/>
    </w:rPr>
  </w:style>
  <w:style w:type="paragraph" w:styleId="Bibliography">
    <w:name w:val="Bibliography"/>
    <w:basedOn w:val="Normal"/>
    <w:next w:val="Normal"/>
    <w:uiPriority w:val="37"/>
    <w:unhideWhenUsed/>
    <w:rsid w:val="00E830BB"/>
    <w:pPr>
      <w:spacing w:after="0" w:line="480" w:lineRule="auto"/>
      <w:ind w:left="720" w:hanging="720"/>
    </w:pPr>
  </w:style>
  <w:style w:type="paragraph" w:styleId="Revision">
    <w:name w:val="Revision"/>
    <w:hidden/>
    <w:uiPriority w:val="99"/>
    <w:semiHidden/>
    <w:rsid w:val="00E830BB"/>
    <w:rPr>
      <w:sz w:val="22"/>
      <w:szCs w:val="22"/>
    </w:rPr>
  </w:style>
  <w:style w:type="character" w:styleId="PlaceholderText">
    <w:name w:val="Placeholder Text"/>
    <w:basedOn w:val="DefaultParagraphFont"/>
    <w:uiPriority w:val="99"/>
    <w:semiHidden/>
    <w:rsid w:val="00E830BB"/>
    <w:rPr>
      <w:color w:val="808080"/>
    </w:rPr>
  </w:style>
  <w:style w:type="paragraph" w:styleId="Header">
    <w:name w:val="header"/>
    <w:basedOn w:val="Normal"/>
    <w:link w:val="HeaderChar"/>
    <w:uiPriority w:val="99"/>
    <w:unhideWhenUsed/>
    <w:rsid w:val="00E83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0BB"/>
    <w:rPr>
      <w:sz w:val="22"/>
      <w:szCs w:val="22"/>
    </w:rPr>
  </w:style>
  <w:style w:type="paragraph" w:styleId="Footer">
    <w:name w:val="footer"/>
    <w:basedOn w:val="Normal"/>
    <w:link w:val="FooterChar"/>
    <w:uiPriority w:val="99"/>
    <w:unhideWhenUsed/>
    <w:rsid w:val="00E83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0BB"/>
    <w:rPr>
      <w:sz w:val="22"/>
      <w:szCs w:val="22"/>
    </w:rPr>
  </w:style>
  <w:style w:type="paragraph" w:customStyle="1" w:styleId="EndNoteBibliographyTitle">
    <w:name w:val="EndNote Bibliography Title"/>
    <w:basedOn w:val="Normal"/>
    <w:link w:val="EndNoteBibliographyTitleChar"/>
    <w:rsid w:val="00E830B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830BB"/>
    <w:rPr>
      <w:rFonts w:ascii="Calibri" w:hAnsi="Calibri" w:cs="Calibri"/>
      <w:noProof/>
      <w:sz w:val="22"/>
      <w:szCs w:val="22"/>
    </w:rPr>
  </w:style>
  <w:style w:type="paragraph" w:customStyle="1" w:styleId="EndNoteBibliography">
    <w:name w:val="EndNote Bibliography"/>
    <w:basedOn w:val="Normal"/>
    <w:link w:val="EndNoteBibliographyChar"/>
    <w:rsid w:val="00E830B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830BB"/>
    <w:rPr>
      <w:rFonts w:ascii="Calibri" w:hAnsi="Calibri" w:cs="Calibri"/>
      <w:noProof/>
      <w:sz w:val="22"/>
      <w:szCs w:val="22"/>
    </w:rPr>
  </w:style>
  <w:style w:type="table" w:styleId="TableGrid">
    <w:name w:val="Table Grid"/>
    <w:basedOn w:val="TableNormal"/>
    <w:uiPriority w:val="39"/>
    <w:rsid w:val="00E830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https://github.com/xiaoran831213/simgen" TargetMode="Externa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8</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Xiaoran (NIH/NIEHS) [F]</dc:creator>
  <cp:keywords/>
  <dc:description/>
  <cp:lastModifiedBy>Tong, Xiaoran (NIH/NIEHS) [F]</cp:lastModifiedBy>
  <cp:revision>87</cp:revision>
  <dcterms:created xsi:type="dcterms:W3CDTF">2022-03-09T06:58:00Z</dcterms:created>
  <dcterms:modified xsi:type="dcterms:W3CDTF">2022-03-14T18:56:00Z</dcterms:modified>
</cp:coreProperties>
</file>